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DAB2" w14:textId="2CA8456C" w:rsidR="008E5CAF" w:rsidRPr="0031401C" w:rsidRDefault="009C3A5B" w:rsidP="009136D0">
      <w:pPr>
        <w:spacing w:line="240" w:lineRule="auto"/>
        <w:jc w:val="left"/>
        <w:rPr>
          <w:sz w:val="40"/>
          <w:szCs w:val="40"/>
        </w:rPr>
      </w:pPr>
      <w:r w:rsidRPr="0031401C">
        <w:rPr>
          <w:sz w:val="40"/>
          <w:szCs w:val="40"/>
        </w:rPr>
        <w:t xml:space="preserve">Chapters taken from James Rochford, </w:t>
      </w:r>
      <w:r w:rsidRPr="0031401C">
        <w:rPr>
          <w:i/>
          <w:iCs/>
          <w:sz w:val="40"/>
          <w:szCs w:val="40"/>
        </w:rPr>
        <w:t>Endless Hope or Hopeless End: The Bible and the End of Human History</w:t>
      </w:r>
      <w:r w:rsidRPr="0031401C">
        <w:rPr>
          <w:sz w:val="40"/>
          <w:szCs w:val="40"/>
        </w:rPr>
        <w:t xml:space="preserve"> (New Paradigm Publishing, 2016)</w:t>
      </w:r>
    </w:p>
    <w:p w14:paraId="0B7B5DB5" w14:textId="77777777" w:rsidR="00876F3B" w:rsidRDefault="00876F3B" w:rsidP="009136D0">
      <w:pPr>
        <w:spacing w:line="240" w:lineRule="auto"/>
        <w:jc w:val="left"/>
      </w:pPr>
    </w:p>
    <w:p w14:paraId="19C357A1" w14:textId="77777777" w:rsidR="00876F3B" w:rsidRPr="00EE7AC3" w:rsidRDefault="00876F3B" w:rsidP="009136D0">
      <w:pPr>
        <w:pStyle w:val="Heading1"/>
      </w:pPr>
      <w:bookmarkStart w:id="0" w:name="_Toc438580527"/>
      <w:bookmarkStart w:id="1" w:name="_Toc440728047"/>
      <w:bookmarkStart w:id="2" w:name="_Toc441011474"/>
      <w:bookmarkStart w:id="3" w:name="_Toc441015250"/>
      <w:bookmarkStart w:id="4" w:name="_Toc441263709"/>
      <w:r>
        <w:t>Chapter 7. Revelation: Hindsight or Foresight?</w:t>
      </w:r>
      <w:bookmarkEnd w:id="0"/>
      <w:bookmarkEnd w:id="1"/>
      <w:bookmarkEnd w:id="2"/>
      <w:bookmarkEnd w:id="3"/>
      <w:bookmarkEnd w:id="4"/>
    </w:p>
    <w:p w14:paraId="76056811" w14:textId="77777777" w:rsidR="00876F3B" w:rsidRPr="00EE7AC3" w:rsidRDefault="00876F3B" w:rsidP="009136D0">
      <w:pPr>
        <w:spacing w:line="240" w:lineRule="auto"/>
        <w:jc w:val="left"/>
      </w:pPr>
      <w:r>
        <w:t xml:space="preserve">Most Christians assume that the book of Revelation describes the distant future when it refers to Jesus’ climactic return. But what if we’re wrong? What if we’re taking an entirely misguided approach? Some theologians believe that most of the NT’s predictions of Jesus’ return don’t describe the </w:t>
      </w:r>
      <w:r>
        <w:rPr>
          <w:i/>
        </w:rPr>
        <w:t>future</w:t>
      </w:r>
      <w:r>
        <w:t xml:space="preserve">; instead, these predictions were largely fulfilled in the </w:t>
      </w:r>
      <w:r>
        <w:rPr>
          <w:i/>
        </w:rPr>
        <w:t>past</w:t>
      </w:r>
      <w:r>
        <w:t>.</w:t>
      </w:r>
    </w:p>
    <w:p w14:paraId="4876574D" w14:textId="577CC00B" w:rsidR="00876F3B" w:rsidRPr="00EE7AC3" w:rsidRDefault="00876F3B" w:rsidP="009136D0">
      <w:pPr>
        <w:spacing w:line="240" w:lineRule="auto"/>
        <w:jc w:val="left"/>
      </w:pPr>
      <w:r>
        <w:t xml:space="preserve">Theologians call this perspective </w:t>
      </w:r>
      <w:r>
        <w:rPr>
          <w:i/>
        </w:rPr>
        <w:t>Preterism</w:t>
      </w:r>
      <w:r>
        <w:t xml:space="preserve">. The </w:t>
      </w:r>
      <w:r>
        <w:rPr>
          <w:i/>
        </w:rPr>
        <w:t>preterite</w:t>
      </w:r>
      <w:r>
        <w:t xml:space="preserve"> in English is the past tense of a verb, and the Latin term </w:t>
      </w:r>
      <w:proofErr w:type="spellStart"/>
      <w:r>
        <w:rPr>
          <w:i/>
        </w:rPr>
        <w:t>praeteritus</w:t>
      </w:r>
      <w:proofErr w:type="spellEnd"/>
      <w:r>
        <w:t xml:space="preserve"> means “gone by” or “past.” </w:t>
      </w:r>
      <w:proofErr w:type="gramStart"/>
      <w:r>
        <w:rPr>
          <w:i/>
        </w:rPr>
        <w:t>Thus</w:t>
      </w:r>
      <w:proofErr w:type="gramEnd"/>
      <w:r>
        <w:rPr>
          <w:i/>
        </w:rPr>
        <w:t xml:space="preserve"> Preterism holds that most of the book of Revelation has already been fulfilled</w:t>
      </w:r>
      <w:r>
        <w:t xml:space="preserve">. Preterist David Chilton explains, “The great majority of the Revelation is </w:t>
      </w:r>
      <w:r>
        <w:rPr>
          <w:i/>
        </w:rPr>
        <w:t>history</w:t>
      </w:r>
      <w:r>
        <w:t>: It has already happened… The Book of Revelation is not about the Second Coming of Christ. It is about the destruction of Israel and Christ’s victory over His enemies.”</w:t>
      </w:r>
      <w:r>
        <w:rPr>
          <w:rStyle w:val="FootnoteReference"/>
        </w:rPr>
        <w:footnoteReference w:id="1"/>
      </w:r>
      <w:r>
        <w:t xml:space="preserve"> Therefore, instead of looking in the </w:t>
      </w:r>
      <w:r>
        <w:rPr>
          <w:i/>
        </w:rPr>
        <w:t>newspaper headlines</w:t>
      </w:r>
      <w:r>
        <w:t xml:space="preserve"> for the fulfillment of the book of Revelation, Preterism looks in </w:t>
      </w:r>
      <w:r>
        <w:rPr>
          <w:i/>
        </w:rPr>
        <w:t>history books</w:t>
      </w:r>
      <w:r>
        <w:t xml:space="preserve"> to discover their fulfillment.</w:t>
      </w:r>
    </w:p>
    <w:p w14:paraId="7EFFFA03" w14:textId="0BECA68D" w:rsidR="00876F3B" w:rsidRDefault="007B0D23" w:rsidP="007B0D23">
      <w:pPr>
        <w:spacing w:line="240" w:lineRule="auto"/>
        <w:jc w:val="center"/>
      </w:pPr>
      <w:r>
        <w:rPr>
          <w:noProof/>
        </w:rPr>
        <w:drawing>
          <wp:inline distT="0" distB="0" distL="0" distR="0" wp14:anchorId="47624C4C" wp14:editId="10F34D04">
            <wp:extent cx="5486400" cy="3199765"/>
            <wp:effectExtent l="0" t="0" r="0" b="635"/>
            <wp:docPr id="1431332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199765"/>
                    </a:xfrm>
                    <a:prstGeom prst="rect">
                      <a:avLst/>
                    </a:prstGeom>
                    <a:noFill/>
                    <a:ln>
                      <a:noFill/>
                    </a:ln>
                  </pic:spPr>
                </pic:pic>
              </a:graphicData>
            </a:graphic>
          </wp:inline>
        </w:drawing>
      </w:r>
    </w:p>
    <w:p w14:paraId="492741B4" w14:textId="2BBC58F2" w:rsidR="007B0D23" w:rsidRPr="00EE7AC3" w:rsidRDefault="007B0D23" w:rsidP="007B0D23">
      <w:pPr>
        <w:spacing w:line="240" w:lineRule="auto"/>
        <w:jc w:val="center"/>
      </w:pPr>
    </w:p>
    <w:p w14:paraId="2788B556" w14:textId="2D969B33" w:rsidR="00876F3B" w:rsidRDefault="00876F3B" w:rsidP="009136D0">
      <w:pPr>
        <w:spacing w:line="240" w:lineRule="auto"/>
        <w:jc w:val="left"/>
      </w:pPr>
      <w:r>
        <w:rPr>
          <w:i/>
        </w:rPr>
        <w:t>Hyper Preterism</w:t>
      </w:r>
      <w:r>
        <w:t xml:space="preserve"> goes further, teaching that the Bible has absolutely nothing to say about the Second Coming of Christ or the end of history:</w:t>
      </w:r>
      <w:r>
        <w:rPr>
          <w:rStyle w:val="FootnoteReference"/>
        </w:rPr>
        <w:footnoteReference w:id="2"/>
      </w:r>
    </w:p>
    <w:p w14:paraId="1B5A130F" w14:textId="77777777" w:rsidR="007B0D23" w:rsidRDefault="007B0D23" w:rsidP="009136D0">
      <w:pPr>
        <w:spacing w:line="240" w:lineRule="auto"/>
        <w:jc w:val="left"/>
      </w:pPr>
    </w:p>
    <w:p w14:paraId="5208C035" w14:textId="6F9E66F5" w:rsidR="007B0D23" w:rsidRPr="00EE7AC3" w:rsidRDefault="007B0D23" w:rsidP="009136D0">
      <w:pPr>
        <w:spacing w:line="240" w:lineRule="auto"/>
        <w:jc w:val="left"/>
      </w:pPr>
      <w:r>
        <w:rPr>
          <w:noProof/>
        </w:rPr>
        <w:drawing>
          <wp:inline distT="0" distB="0" distL="0" distR="0" wp14:anchorId="2AE0AFA1" wp14:editId="558CADC5">
            <wp:extent cx="5486400" cy="3199765"/>
            <wp:effectExtent l="0" t="0" r="0" b="635"/>
            <wp:docPr id="15548070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199765"/>
                    </a:xfrm>
                    <a:prstGeom prst="rect">
                      <a:avLst/>
                    </a:prstGeom>
                    <a:noFill/>
                    <a:ln>
                      <a:noFill/>
                    </a:ln>
                  </pic:spPr>
                </pic:pic>
              </a:graphicData>
            </a:graphic>
          </wp:inline>
        </w:drawing>
      </w:r>
    </w:p>
    <w:p w14:paraId="63BF9D70" w14:textId="77777777" w:rsidR="007B0D23" w:rsidRDefault="007B0D23" w:rsidP="009136D0">
      <w:pPr>
        <w:spacing w:line="240" w:lineRule="auto"/>
        <w:jc w:val="left"/>
      </w:pPr>
    </w:p>
    <w:p w14:paraId="42A1686D" w14:textId="2C08AC1D" w:rsidR="00876F3B" w:rsidRPr="00EE7AC3" w:rsidRDefault="00876F3B" w:rsidP="009136D0">
      <w:pPr>
        <w:spacing w:line="240" w:lineRule="auto"/>
        <w:jc w:val="left"/>
      </w:pPr>
      <w:r>
        <w:t xml:space="preserve">Of course, this view stands entirely at odds with core Christian teaching. Paul writes about false teachers like this “who have gone astray from the truth </w:t>
      </w:r>
      <w:r>
        <w:rPr>
          <w:i/>
        </w:rPr>
        <w:t>saying that the resurrection has already taken place</w:t>
      </w:r>
      <w:r>
        <w:t>, and they upset the faith of some” (2 Tim. 2:18). He calls this perspective “ungodliness” and “gangrene” in the Christian community (2 Tim. 2:16-17). Surely Hyper Preterism stands outside of classical Christian teaching, denying the return of Christ and the resurrection of the dead.</w:t>
      </w:r>
    </w:p>
    <w:p w14:paraId="453002AD" w14:textId="77777777" w:rsidR="00876F3B" w:rsidRPr="00EE7AC3" w:rsidRDefault="00876F3B" w:rsidP="009136D0">
      <w:pPr>
        <w:spacing w:line="240" w:lineRule="auto"/>
        <w:jc w:val="left"/>
      </w:pPr>
      <w:r>
        <w:t xml:space="preserve">Others, however, hold to a more moderate form of Preterism. They believe that the book of Revelation </w:t>
      </w:r>
      <w:r>
        <w:rPr>
          <w:i/>
        </w:rPr>
        <w:t>generally</w:t>
      </w:r>
      <w:r>
        <w:t xml:space="preserve"> describes the destruction of Jerusalem in AD 70, and yet, they still affirm Jesus’ return at the end of human history as well as the future resurrection of the dead.</w:t>
      </w:r>
    </w:p>
    <w:p w14:paraId="5DE381F5" w14:textId="77777777" w:rsidR="00876F3B" w:rsidRPr="00EE7AC3" w:rsidRDefault="00876F3B" w:rsidP="009136D0">
      <w:pPr>
        <w:spacing w:line="240" w:lineRule="auto"/>
        <w:jc w:val="left"/>
      </w:pPr>
      <w:r>
        <w:t>Theologians call this Moderate or Partial Preterism, although adherents of this view often dislike this title, preferring to call their view simply “Preterism.”</w:t>
      </w:r>
      <w:r>
        <w:rPr>
          <w:rStyle w:val="FootnoteReference"/>
        </w:rPr>
        <w:footnoteReference w:id="3"/>
      </w:r>
      <w:r>
        <w:t xml:space="preserve"> Thus when we refer to Preterism in this book, we are assuming this Moderate or Partial Preterism, rather than </w:t>
      </w:r>
      <w:r>
        <w:rPr>
          <w:i/>
        </w:rPr>
        <w:t>Hyper</w:t>
      </w:r>
      <w:r>
        <w:t xml:space="preserve"> Preterism. To repeat, Preterism affirms the Second Coming of Christ and the general </w:t>
      </w:r>
      <w:r>
        <w:lastRenderedPageBreak/>
        <w:t xml:space="preserve">resurrection of the dead at the end of history—yet it believes that many passages in the NT do not refer to this </w:t>
      </w:r>
      <w:proofErr w:type="gramStart"/>
      <w:r>
        <w:t>event, but</w:t>
      </w:r>
      <w:proofErr w:type="gramEnd"/>
      <w:r>
        <w:t xml:space="preserve"> rather refer to a metaphorical coming of Christ in AD 70.</w:t>
      </w:r>
    </w:p>
    <w:p w14:paraId="7BFD8F68" w14:textId="77777777" w:rsidR="00876F3B" w:rsidRPr="00EE7AC3" w:rsidRDefault="00876F3B" w:rsidP="00051535">
      <w:pPr>
        <w:pStyle w:val="Heading4"/>
      </w:pPr>
      <w:r>
        <w:t>Futurism or Preterism?</w:t>
      </w:r>
    </w:p>
    <w:p w14:paraId="49738F34" w14:textId="77777777" w:rsidR="00876F3B" w:rsidRDefault="00876F3B" w:rsidP="00051535">
      <w:pPr>
        <w:spacing w:line="240" w:lineRule="auto"/>
        <w:jc w:val="left"/>
      </w:pPr>
      <w:r>
        <w:t xml:space="preserve">Other interpreters (like </w:t>
      </w:r>
      <w:proofErr w:type="gramStart"/>
      <w:r>
        <w:t>myself</w:t>
      </w:r>
      <w:proofErr w:type="gramEnd"/>
      <w:r>
        <w:t xml:space="preserve">) hold to </w:t>
      </w:r>
      <w:r>
        <w:rPr>
          <w:i/>
        </w:rPr>
        <w:t>Futurism</w:t>
      </w:r>
      <w:r>
        <w:t xml:space="preserve">, rather than </w:t>
      </w:r>
      <w:r>
        <w:rPr>
          <w:i/>
        </w:rPr>
        <w:t>Preterism</w:t>
      </w:r>
      <w:r>
        <w:t xml:space="preserve">, when interpreting the NT predictions about the future. As the term suggests, </w:t>
      </w:r>
      <w:r>
        <w:rPr>
          <w:i/>
        </w:rPr>
        <w:t>Futurists</w:t>
      </w:r>
      <w:r>
        <w:t xml:space="preserve"> believe that </w:t>
      </w:r>
      <w:proofErr w:type="gramStart"/>
      <w:r>
        <w:t>the majority of</w:t>
      </w:r>
      <w:proofErr w:type="gramEnd"/>
      <w:r>
        <w:t xml:space="preserve"> prophecies describe the </w:t>
      </w:r>
      <w:r>
        <w:rPr>
          <w:i/>
        </w:rPr>
        <w:t>future</w:t>
      </w:r>
      <w:r>
        <w:t>—namely, the end of human history. Compare these views side by side:</w:t>
      </w:r>
    </w:p>
    <w:p w14:paraId="43AA10CC" w14:textId="77777777" w:rsidR="00051535" w:rsidRPr="00EE7AC3" w:rsidRDefault="00051535" w:rsidP="00051535">
      <w:pPr>
        <w:spacing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790"/>
        <w:gridCol w:w="3240"/>
      </w:tblGrid>
      <w:tr w:rsidR="00876F3B" w:rsidRPr="009136D0" w14:paraId="2E8B3B67" w14:textId="77777777" w:rsidTr="009136D0">
        <w:tc>
          <w:tcPr>
            <w:tcW w:w="8347" w:type="dxa"/>
            <w:gridSpan w:val="3"/>
          </w:tcPr>
          <w:p w14:paraId="714992A2" w14:textId="77777777" w:rsidR="00876F3B" w:rsidRPr="009136D0" w:rsidRDefault="00876F3B" w:rsidP="00051535">
            <w:pPr>
              <w:spacing w:after="0" w:line="240" w:lineRule="auto"/>
              <w:jc w:val="center"/>
              <w:rPr>
                <w:b/>
                <w:sz w:val="32"/>
              </w:rPr>
            </w:pPr>
            <w:r w:rsidRPr="009136D0">
              <w:rPr>
                <w:b/>
                <w:sz w:val="32"/>
              </w:rPr>
              <w:t>Futurism versus Preterism</w:t>
            </w:r>
          </w:p>
        </w:tc>
      </w:tr>
      <w:tr w:rsidR="00876F3B" w:rsidRPr="00EE7AC3" w14:paraId="31739BF8" w14:textId="77777777" w:rsidTr="009136D0">
        <w:tc>
          <w:tcPr>
            <w:tcW w:w="2317" w:type="dxa"/>
          </w:tcPr>
          <w:p w14:paraId="2E729D49" w14:textId="77777777" w:rsidR="00876F3B" w:rsidRPr="00EE7AC3" w:rsidRDefault="00876F3B" w:rsidP="00051535">
            <w:pPr>
              <w:spacing w:after="0" w:line="240" w:lineRule="auto"/>
              <w:jc w:val="center"/>
              <w:rPr>
                <w:b/>
                <w:szCs w:val="20"/>
              </w:rPr>
            </w:pPr>
            <w:r>
              <w:rPr>
                <w:b/>
                <w:szCs w:val="20"/>
              </w:rPr>
              <w:t>Subject</w:t>
            </w:r>
          </w:p>
        </w:tc>
        <w:tc>
          <w:tcPr>
            <w:tcW w:w="2790" w:type="dxa"/>
          </w:tcPr>
          <w:p w14:paraId="7E08BC34" w14:textId="77777777" w:rsidR="00876F3B" w:rsidRPr="00EE7AC3" w:rsidRDefault="00876F3B" w:rsidP="00051535">
            <w:pPr>
              <w:spacing w:after="0" w:line="240" w:lineRule="auto"/>
              <w:jc w:val="center"/>
              <w:rPr>
                <w:b/>
                <w:szCs w:val="20"/>
              </w:rPr>
            </w:pPr>
            <w:r>
              <w:rPr>
                <w:b/>
                <w:szCs w:val="20"/>
              </w:rPr>
              <w:t>Futurism</w:t>
            </w:r>
          </w:p>
        </w:tc>
        <w:tc>
          <w:tcPr>
            <w:tcW w:w="3240" w:type="dxa"/>
          </w:tcPr>
          <w:p w14:paraId="30290A0F" w14:textId="77777777" w:rsidR="00876F3B" w:rsidRPr="00EE7AC3" w:rsidRDefault="00876F3B" w:rsidP="00051535">
            <w:pPr>
              <w:spacing w:after="0" w:line="240" w:lineRule="auto"/>
              <w:jc w:val="center"/>
              <w:rPr>
                <w:b/>
                <w:szCs w:val="20"/>
              </w:rPr>
            </w:pPr>
            <w:r>
              <w:rPr>
                <w:b/>
                <w:szCs w:val="20"/>
              </w:rPr>
              <w:t>Preterism</w:t>
            </w:r>
          </w:p>
        </w:tc>
      </w:tr>
      <w:tr w:rsidR="00876F3B" w:rsidRPr="00EE7AC3" w14:paraId="025D71A0" w14:textId="77777777" w:rsidTr="009136D0">
        <w:tc>
          <w:tcPr>
            <w:tcW w:w="2317" w:type="dxa"/>
          </w:tcPr>
          <w:p w14:paraId="3B334D9D" w14:textId="77777777" w:rsidR="00876F3B" w:rsidRPr="00EE7AC3" w:rsidRDefault="00876F3B" w:rsidP="00051535">
            <w:pPr>
              <w:spacing w:after="0" w:line="240" w:lineRule="auto"/>
              <w:jc w:val="center"/>
              <w:rPr>
                <w:b/>
                <w:szCs w:val="20"/>
              </w:rPr>
            </w:pPr>
            <w:r>
              <w:rPr>
                <w:b/>
                <w:szCs w:val="20"/>
              </w:rPr>
              <w:t>Antichrist, Beast, Man of Lawlessness</w:t>
            </w:r>
          </w:p>
        </w:tc>
        <w:tc>
          <w:tcPr>
            <w:tcW w:w="2790" w:type="dxa"/>
          </w:tcPr>
          <w:p w14:paraId="3A3555AE" w14:textId="77777777" w:rsidR="00876F3B" w:rsidRPr="00EE7AC3" w:rsidRDefault="00876F3B" w:rsidP="00051535">
            <w:pPr>
              <w:spacing w:after="0" w:line="240" w:lineRule="auto"/>
              <w:jc w:val="center"/>
              <w:rPr>
                <w:szCs w:val="20"/>
              </w:rPr>
            </w:pPr>
            <w:r>
              <w:rPr>
                <w:i/>
                <w:szCs w:val="20"/>
              </w:rPr>
              <w:t>Future World Tyrant:</w:t>
            </w:r>
            <w:r>
              <w:rPr>
                <w:szCs w:val="20"/>
              </w:rPr>
              <w:t xml:space="preserve"> Persecutes Christians (2 Thess. 2:3; 1 Jn. 2:18; Rev. 13:1)</w:t>
            </w:r>
          </w:p>
        </w:tc>
        <w:tc>
          <w:tcPr>
            <w:tcW w:w="3240" w:type="dxa"/>
          </w:tcPr>
          <w:p w14:paraId="2B24BF4A" w14:textId="77777777" w:rsidR="00876F3B" w:rsidRPr="00EE7AC3" w:rsidRDefault="00876F3B" w:rsidP="00051535">
            <w:pPr>
              <w:spacing w:after="0" w:line="240" w:lineRule="auto"/>
              <w:jc w:val="center"/>
              <w:rPr>
                <w:szCs w:val="20"/>
              </w:rPr>
            </w:pPr>
            <w:r>
              <w:rPr>
                <w:i/>
                <w:szCs w:val="20"/>
              </w:rPr>
              <w:t>Emperor Nero (AD 54-68):</w:t>
            </w:r>
            <w:r>
              <w:rPr>
                <w:szCs w:val="20"/>
              </w:rPr>
              <w:t xml:space="preserve"> Persecuted Christians</w:t>
            </w:r>
          </w:p>
          <w:p w14:paraId="3BCB53DF" w14:textId="77777777" w:rsidR="00876F3B" w:rsidRPr="00EE7AC3" w:rsidRDefault="00876F3B" w:rsidP="00051535">
            <w:pPr>
              <w:spacing w:after="0" w:line="240" w:lineRule="auto"/>
              <w:jc w:val="center"/>
              <w:rPr>
                <w:szCs w:val="20"/>
              </w:rPr>
            </w:pPr>
            <w:r>
              <w:rPr>
                <w:szCs w:val="20"/>
              </w:rPr>
              <w:t>(1 Jn. 2:18; Rev. 13:1)</w:t>
            </w:r>
          </w:p>
        </w:tc>
      </w:tr>
      <w:tr w:rsidR="00876F3B" w:rsidRPr="00EE7AC3" w14:paraId="7F115161" w14:textId="77777777" w:rsidTr="009136D0">
        <w:tc>
          <w:tcPr>
            <w:tcW w:w="2317" w:type="dxa"/>
          </w:tcPr>
          <w:p w14:paraId="55DCB1E8" w14:textId="77777777" w:rsidR="00876F3B" w:rsidRPr="00EE7AC3" w:rsidRDefault="00876F3B" w:rsidP="00051535">
            <w:pPr>
              <w:spacing w:after="0" w:line="240" w:lineRule="auto"/>
              <w:jc w:val="center"/>
              <w:rPr>
                <w:b/>
                <w:szCs w:val="20"/>
              </w:rPr>
            </w:pPr>
            <w:r>
              <w:rPr>
                <w:b/>
                <w:szCs w:val="20"/>
              </w:rPr>
              <w:t>The Temple</w:t>
            </w:r>
          </w:p>
        </w:tc>
        <w:tc>
          <w:tcPr>
            <w:tcW w:w="2790" w:type="dxa"/>
          </w:tcPr>
          <w:p w14:paraId="0EA206A0" w14:textId="77777777" w:rsidR="00876F3B" w:rsidRPr="00EE7AC3" w:rsidRDefault="00876F3B" w:rsidP="00051535">
            <w:pPr>
              <w:spacing w:after="0" w:line="240" w:lineRule="auto"/>
              <w:jc w:val="center"/>
              <w:rPr>
                <w:szCs w:val="20"/>
              </w:rPr>
            </w:pPr>
            <w:r>
              <w:rPr>
                <w:i/>
                <w:szCs w:val="20"/>
              </w:rPr>
              <w:t>Third Temple:</w:t>
            </w:r>
            <w:r>
              <w:rPr>
                <w:szCs w:val="20"/>
              </w:rPr>
              <w:t xml:space="preserve"> Will be built and then destroyed in the future (2 Thess. 2:4; Rev. 11:1-2; Mt. 24:15)</w:t>
            </w:r>
          </w:p>
        </w:tc>
        <w:tc>
          <w:tcPr>
            <w:tcW w:w="3240" w:type="dxa"/>
          </w:tcPr>
          <w:p w14:paraId="78E4DD79" w14:textId="77777777" w:rsidR="00876F3B" w:rsidRPr="00EE7AC3" w:rsidRDefault="00876F3B" w:rsidP="00051535">
            <w:pPr>
              <w:spacing w:after="0" w:line="240" w:lineRule="auto"/>
              <w:jc w:val="center"/>
              <w:rPr>
                <w:szCs w:val="20"/>
              </w:rPr>
            </w:pPr>
            <w:r>
              <w:rPr>
                <w:i/>
                <w:szCs w:val="20"/>
              </w:rPr>
              <w:t>Second Temple:</w:t>
            </w:r>
            <w:r>
              <w:rPr>
                <w:szCs w:val="20"/>
              </w:rPr>
              <w:t xml:space="preserve"> Destroyed in AD 70 (2 Thess. 2:4; Rev. 11:1-2; Mt. 24:15)</w:t>
            </w:r>
          </w:p>
        </w:tc>
      </w:tr>
      <w:tr w:rsidR="00876F3B" w:rsidRPr="00EE7AC3" w14:paraId="3ABB9D54" w14:textId="77777777" w:rsidTr="009136D0">
        <w:tc>
          <w:tcPr>
            <w:tcW w:w="2317" w:type="dxa"/>
          </w:tcPr>
          <w:p w14:paraId="566C0221" w14:textId="77777777" w:rsidR="00876F3B" w:rsidRPr="00EE7AC3" w:rsidRDefault="00876F3B" w:rsidP="00051535">
            <w:pPr>
              <w:spacing w:after="0" w:line="240" w:lineRule="auto"/>
              <w:jc w:val="center"/>
              <w:rPr>
                <w:b/>
                <w:szCs w:val="20"/>
              </w:rPr>
            </w:pPr>
            <w:r>
              <w:rPr>
                <w:b/>
                <w:szCs w:val="20"/>
              </w:rPr>
              <w:t>Apostasy: Falling away from Christ</w:t>
            </w:r>
          </w:p>
        </w:tc>
        <w:tc>
          <w:tcPr>
            <w:tcW w:w="2790" w:type="dxa"/>
          </w:tcPr>
          <w:p w14:paraId="089A8AA0" w14:textId="77777777" w:rsidR="00876F3B" w:rsidRPr="00EE7AC3" w:rsidRDefault="00876F3B" w:rsidP="00051535">
            <w:pPr>
              <w:spacing w:after="0" w:line="240" w:lineRule="auto"/>
              <w:jc w:val="center"/>
              <w:rPr>
                <w:szCs w:val="20"/>
              </w:rPr>
            </w:pPr>
            <w:r>
              <w:rPr>
                <w:szCs w:val="20"/>
              </w:rPr>
              <w:t>Occurs throughout history but especially before Jesus returns (2 Thess. 2:3)</w:t>
            </w:r>
          </w:p>
        </w:tc>
        <w:tc>
          <w:tcPr>
            <w:tcW w:w="3240" w:type="dxa"/>
          </w:tcPr>
          <w:p w14:paraId="2BC4DF6A" w14:textId="77777777" w:rsidR="00876F3B" w:rsidRPr="00EE7AC3" w:rsidRDefault="00876F3B" w:rsidP="00051535">
            <w:pPr>
              <w:spacing w:after="0" w:line="240" w:lineRule="auto"/>
              <w:jc w:val="center"/>
              <w:rPr>
                <w:szCs w:val="20"/>
              </w:rPr>
            </w:pPr>
            <w:r>
              <w:rPr>
                <w:szCs w:val="20"/>
              </w:rPr>
              <w:t>Occurred before destruction of the Temple (2 Thess. 2:3)</w:t>
            </w:r>
          </w:p>
        </w:tc>
      </w:tr>
      <w:tr w:rsidR="00876F3B" w:rsidRPr="00EE7AC3" w14:paraId="6D0459EB" w14:textId="77777777" w:rsidTr="009136D0">
        <w:tc>
          <w:tcPr>
            <w:tcW w:w="2317" w:type="dxa"/>
          </w:tcPr>
          <w:p w14:paraId="4A8F85B8" w14:textId="77777777" w:rsidR="00876F3B" w:rsidRPr="00EE7AC3" w:rsidRDefault="00876F3B" w:rsidP="00051535">
            <w:pPr>
              <w:spacing w:after="0" w:line="240" w:lineRule="auto"/>
              <w:jc w:val="center"/>
              <w:rPr>
                <w:b/>
                <w:szCs w:val="20"/>
              </w:rPr>
            </w:pPr>
            <w:r>
              <w:rPr>
                <w:b/>
                <w:szCs w:val="20"/>
              </w:rPr>
              <w:t>Tribulation</w:t>
            </w:r>
          </w:p>
        </w:tc>
        <w:tc>
          <w:tcPr>
            <w:tcW w:w="2790" w:type="dxa"/>
          </w:tcPr>
          <w:p w14:paraId="7F09B463" w14:textId="77777777" w:rsidR="00876F3B" w:rsidRPr="00EE7AC3" w:rsidRDefault="00876F3B" w:rsidP="00051535">
            <w:pPr>
              <w:spacing w:after="0" w:line="240" w:lineRule="auto"/>
              <w:jc w:val="center"/>
              <w:rPr>
                <w:szCs w:val="20"/>
              </w:rPr>
            </w:pPr>
            <w:r>
              <w:rPr>
                <w:szCs w:val="20"/>
                <w:lang w:bidi="en-US"/>
              </w:rPr>
              <w:t>Tribulation occurs throughout the Church Age (Jn. 16:33</w:t>
            </w:r>
            <w:r>
              <w:rPr>
                <w:szCs w:val="20"/>
              </w:rPr>
              <w:t>; Acts 14:22; Rev. 1:9)</w:t>
            </w:r>
          </w:p>
          <w:p w14:paraId="325A4449" w14:textId="77777777" w:rsidR="00876F3B" w:rsidRPr="00EE7AC3" w:rsidRDefault="00876F3B" w:rsidP="00051535">
            <w:pPr>
              <w:spacing w:after="0" w:line="240" w:lineRule="auto"/>
              <w:jc w:val="center"/>
              <w:rPr>
                <w:szCs w:val="20"/>
              </w:rPr>
            </w:pPr>
          </w:p>
          <w:p w14:paraId="4BFA63FC" w14:textId="77777777" w:rsidR="00876F3B" w:rsidRPr="00EE7AC3" w:rsidRDefault="00876F3B" w:rsidP="00051535">
            <w:pPr>
              <w:spacing w:after="0" w:line="240" w:lineRule="auto"/>
              <w:jc w:val="center"/>
              <w:rPr>
                <w:szCs w:val="20"/>
                <w:lang w:bidi="en-US"/>
              </w:rPr>
            </w:pPr>
            <w:r>
              <w:rPr>
                <w:szCs w:val="20"/>
              </w:rPr>
              <w:t>Yet “</w:t>
            </w:r>
            <w:r>
              <w:rPr>
                <w:i/>
                <w:szCs w:val="20"/>
              </w:rPr>
              <w:t>the</w:t>
            </w:r>
            <w:r>
              <w:rPr>
                <w:szCs w:val="20"/>
              </w:rPr>
              <w:t xml:space="preserve"> tribulation” occurs at the end of history for a </w:t>
            </w:r>
            <w:proofErr w:type="gramStart"/>
            <w:r>
              <w:rPr>
                <w:szCs w:val="20"/>
              </w:rPr>
              <w:t>seven year</w:t>
            </w:r>
            <w:proofErr w:type="gramEnd"/>
            <w:r>
              <w:rPr>
                <w:szCs w:val="20"/>
              </w:rPr>
              <w:t xml:space="preserve"> period (Dan. 9:27; Mt. 24:21; </w:t>
            </w:r>
            <w:r>
              <w:rPr>
                <w:szCs w:val="20"/>
                <w:lang w:bidi="en-US"/>
              </w:rPr>
              <w:t>Rev. 11:2-3; 12:6; 13:5)</w:t>
            </w:r>
          </w:p>
        </w:tc>
        <w:tc>
          <w:tcPr>
            <w:tcW w:w="3240" w:type="dxa"/>
          </w:tcPr>
          <w:p w14:paraId="5FDA8E9D" w14:textId="77777777" w:rsidR="00876F3B" w:rsidRPr="00EE7AC3" w:rsidRDefault="00876F3B" w:rsidP="00051535">
            <w:pPr>
              <w:spacing w:after="0" w:line="240" w:lineRule="auto"/>
              <w:jc w:val="center"/>
              <w:rPr>
                <w:szCs w:val="20"/>
              </w:rPr>
            </w:pPr>
            <w:r>
              <w:rPr>
                <w:szCs w:val="20"/>
              </w:rPr>
              <w:t>Tribulation occurs throughout the Church Age (Jn. 16:33; Acts 14:22; Rev. 1:9)</w:t>
            </w:r>
          </w:p>
          <w:p w14:paraId="5E9E1598" w14:textId="77777777" w:rsidR="00876F3B" w:rsidRPr="00EE7AC3" w:rsidRDefault="00876F3B" w:rsidP="00051535">
            <w:pPr>
              <w:spacing w:after="0" w:line="240" w:lineRule="auto"/>
              <w:jc w:val="center"/>
              <w:rPr>
                <w:szCs w:val="20"/>
              </w:rPr>
            </w:pPr>
          </w:p>
          <w:p w14:paraId="71AF4C05" w14:textId="77777777" w:rsidR="00876F3B" w:rsidRPr="00EE7AC3" w:rsidRDefault="00876F3B" w:rsidP="00051535">
            <w:pPr>
              <w:spacing w:after="0" w:line="240" w:lineRule="auto"/>
              <w:jc w:val="center"/>
              <w:rPr>
                <w:szCs w:val="20"/>
              </w:rPr>
            </w:pPr>
            <w:r>
              <w:rPr>
                <w:szCs w:val="20"/>
              </w:rPr>
              <w:t>Yet “</w:t>
            </w:r>
            <w:r>
              <w:rPr>
                <w:i/>
                <w:szCs w:val="20"/>
              </w:rPr>
              <w:t>the</w:t>
            </w:r>
            <w:r>
              <w:rPr>
                <w:szCs w:val="20"/>
              </w:rPr>
              <w:t xml:space="preserve"> tribulation” occurred during the destruction of Jerusalem for a </w:t>
            </w:r>
            <w:proofErr w:type="gramStart"/>
            <w:r>
              <w:rPr>
                <w:szCs w:val="20"/>
              </w:rPr>
              <w:t>seven year</w:t>
            </w:r>
            <w:proofErr w:type="gramEnd"/>
            <w:r>
              <w:rPr>
                <w:szCs w:val="20"/>
              </w:rPr>
              <w:t xml:space="preserve"> period (Dan. 9:27; Mt. 24:21; </w:t>
            </w:r>
            <w:r>
              <w:rPr>
                <w:szCs w:val="20"/>
                <w:lang w:bidi="en-US"/>
              </w:rPr>
              <w:t>Rev. 11:2-3; 12:6; 13:5)</w:t>
            </w:r>
          </w:p>
        </w:tc>
      </w:tr>
      <w:tr w:rsidR="00876F3B" w:rsidRPr="00EE7AC3" w14:paraId="15049D8B" w14:textId="77777777" w:rsidTr="009136D0">
        <w:tc>
          <w:tcPr>
            <w:tcW w:w="2317" w:type="dxa"/>
          </w:tcPr>
          <w:p w14:paraId="5AFA812F" w14:textId="77777777" w:rsidR="00876F3B" w:rsidRPr="00EE7AC3" w:rsidRDefault="00876F3B" w:rsidP="00051535">
            <w:pPr>
              <w:spacing w:after="0" w:line="240" w:lineRule="auto"/>
              <w:jc w:val="center"/>
              <w:rPr>
                <w:b/>
                <w:szCs w:val="20"/>
              </w:rPr>
            </w:pPr>
            <w:r>
              <w:rPr>
                <w:b/>
                <w:szCs w:val="20"/>
              </w:rPr>
              <w:t>The “coming” of Christ</w:t>
            </w:r>
          </w:p>
        </w:tc>
        <w:tc>
          <w:tcPr>
            <w:tcW w:w="2790" w:type="dxa"/>
          </w:tcPr>
          <w:p w14:paraId="573AC8CE" w14:textId="77777777" w:rsidR="00876F3B" w:rsidRPr="00EE7AC3" w:rsidRDefault="00876F3B" w:rsidP="00051535">
            <w:pPr>
              <w:spacing w:after="0" w:line="240" w:lineRule="auto"/>
              <w:jc w:val="center"/>
              <w:rPr>
                <w:szCs w:val="20"/>
              </w:rPr>
            </w:pPr>
            <w:r>
              <w:rPr>
                <w:szCs w:val="20"/>
              </w:rPr>
              <w:t>Occurs at the end of history, when Jesus returns to judge humanity (Mt. 24:3, 27, 30)</w:t>
            </w:r>
          </w:p>
        </w:tc>
        <w:tc>
          <w:tcPr>
            <w:tcW w:w="3240" w:type="dxa"/>
          </w:tcPr>
          <w:p w14:paraId="053673C9" w14:textId="77777777" w:rsidR="00876F3B" w:rsidRPr="00EE7AC3" w:rsidRDefault="00876F3B" w:rsidP="00051535">
            <w:pPr>
              <w:spacing w:after="0" w:line="240" w:lineRule="auto"/>
              <w:jc w:val="center"/>
              <w:rPr>
                <w:szCs w:val="20"/>
              </w:rPr>
            </w:pPr>
            <w:r>
              <w:rPr>
                <w:szCs w:val="20"/>
              </w:rPr>
              <w:t>Occurred in AD 70 when Jesus metaphorically destroyed the Temple through the Roman army (Mt. 24:3, 27, 30). Jesus will also return at the end of history</w:t>
            </w:r>
          </w:p>
        </w:tc>
      </w:tr>
      <w:tr w:rsidR="00876F3B" w:rsidRPr="00EE7AC3" w14:paraId="60280640" w14:textId="77777777" w:rsidTr="009136D0">
        <w:tc>
          <w:tcPr>
            <w:tcW w:w="2317" w:type="dxa"/>
          </w:tcPr>
          <w:p w14:paraId="6D1CA7D3" w14:textId="77777777" w:rsidR="00876F3B" w:rsidRPr="00EE7AC3" w:rsidRDefault="00876F3B" w:rsidP="00051535">
            <w:pPr>
              <w:spacing w:after="0" w:line="240" w:lineRule="auto"/>
              <w:jc w:val="center"/>
              <w:rPr>
                <w:b/>
                <w:szCs w:val="20"/>
              </w:rPr>
            </w:pPr>
            <w:r>
              <w:rPr>
                <w:b/>
                <w:szCs w:val="20"/>
              </w:rPr>
              <w:t>Appearing on the clouds?</w:t>
            </w:r>
          </w:p>
        </w:tc>
        <w:tc>
          <w:tcPr>
            <w:tcW w:w="2790" w:type="dxa"/>
          </w:tcPr>
          <w:p w14:paraId="7F5F2AAE" w14:textId="77777777" w:rsidR="00876F3B" w:rsidRPr="00EE7AC3" w:rsidRDefault="00876F3B" w:rsidP="00051535">
            <w:pPr>
              <w:spacing w:after="0" w:line="240" w:lineRule="auto"/>
              <w:jc w:val="center"/>
              <w:rPr>
                <w:szCs w:val="20"/>
              </w:rPr>
            </w:pPr>
            <w:r>
              <w:rPr>
                <w:szCs w:val="20"/>
              </w:rPr>
              <w:t>Jesus will return just as he left—on the clouds (Acts 1:9-11)</w:t>
            </w:r>
          </w:p>
        </w:tc>
        <w:tc>
          <w:tcPr>
            <w:tcW w:w="3240" w:type="dxa"/>
          </w:tcPr>
          <w:p w14:paraId="00F55E1C" w14:textId="77777777" w:rsidR="00876F3B" w:rsidRPr="00EE7AC3" w:rsidRDefault="00876F3B" w:rsidP="00051535">
            <w:pPr>
              <w:spacing w:after="0" w:line="240" w:lineRule="auto"/>
              <w:jc w:val="center"/>
              <w:rPr>
                <w:szCs w:val="20"/>
              </w:rPr>
            </w:pPr>
            <w:r>
              <w:rPr>
                <w:bCs/>
                <w:szCs w:val="20"/>
                <w:lang w:bidi="en-US"/>
              </w:rPr>
              <w:t>In the OT God often delivered judgment in a symbolic way through “clouds” (Ps. 104:3; Isa. 19:1)</w:t>
            </w:r>
          </w:p>
        </w:tc>
      </w:tr>
      <w:tr w:rsidR="00876F3B" w:rsidRPr="00EE7AC3" w14:paraId="205411AB" w14:textId="77777777" w:rsidTr="009136D0">
        <w:tc>
          <w:tcPr>
            <w:tcW w:w="2317" w:type="dxa"/>
          </w:tcPr>
          <w:p w14:paraId="7A84BA49" w14:textId="77777777" w:rsidR="00876F3B" w:rsidRPr="00EE7AC3" w:rsidRDefault="00876F3B" w:rsidP="00051535">
            <w:pPr>
              <w:spacing w:after="0" w:line="240" w:lineRule="auto"/>
              <w:jc w:val="center"/>
              <w:rPr>
                <w:b/>
                <w:szCs w:val="20"/>
              </w:rPr>
            </w:pPr>
            <w:r>
              <w:rPr>
                <w:b/>
                <w:szCs w:val="20"/>
              </w:rPr>
              <w:t>Appearing like lightning?</w:t>
            </w:r>
          </w:p>
        </w:tc>
        <w:tc>
          <w:tcPr>
            <w:tcW w:w="2790" w:type="dxa"/>
          </w:tcPr>
          <w:p w14:paraId="50EB838C" w14:textId="77777777" w:rsidR="00876F3B" w:rsidRPr="00EE7AC3" w:rsidRDefault="00876F3B" w:rsidP="00051535">
            <w:pPr>
              <w:spacing w:after="0" w:line="240" w:lineRule="auto"/>
              <w:jc w:val="center"/>
              <w:rPr>
                <w:szCs w:val="20"/>
              </w:rPr>
            </w:pPr>
            <w:r>
              <w:rPr>
                <w:szCs w:val="20"/>
              </w:rPr>
              <w:t>Jesus will appear physically and bodily in a climactic way (Mt. 24:27)</w:t>
            </w:r>
          </w:p>
        </w:tc>
        <w:tc>
          <w:tcPr>
            <w:tcW w:w="3240" w:type="dxa"/>
          </w:tcPr>
          <w:p w14:paraId="7622639A" w14:textId="77777777" w:rsidR="00876F3B" w:rsidRPr="00EE7AC3" w:rsidRDefault="00876F3B" w:rsidP="00051535">
            <w:pPr>
              <w:spacing w:after="0" w:line="240" w:lineRule="auto"/>
              <w:jc w:val="center"/>
              <w:rPr>
                <w:szCs w:val="20"/>
              </w:rPr>
            </w:pPr>
            <w:r>
              <w:rPr>
                <w:szCs w:val="20"/>
                <w:lang w:bidi="en-US"/>
              </w:rPr>
              <w:t xml:space="preserve">In the OT, God came metaphorically to judge nations with “lightning” (Ex. 19:16; </w:t>
            </w:r>
            <w:r>
              <w:rPr>
                <w:szCs w:val="20"/>
                <w:lang w:bidi="en-US"/>
              </w:rPr>
              <w:lastRenderedPageBreak/>
              <w:t>20:18; Job 36:30; Ezek. 21:15, 28; Zech. 9:14). Jesus returned in AD 70 through the Roman armies</w:t>
            </w:r>
          </w:p>
        </w:tc>
      </w:tr>
    </w:tbl>
    <w:p w14:paraId="43658A4B" w14:textId="77777777" w:rsidR="009136D0" w:rsidRDefault="009136D0" w:rsidP="00051535">
      <w:pPr>
        <w:spacing w:line="240" w:lineRule="auto"/>
        <w:jc w:val="left"/>
      </w:pPr>
    </w:p>
    <w:p w14:paraId="54369760" w14:textId="2F113D33" w:rsidR="00876F3B" w:rsidRPr="00EE7AC3" w:rsidRDefault="00876F3B" w:rsidP="00051535">
      <w:pPr>
        <w:spacing w:line="240" w:lineRule="auto"/>
        <w:jc w:val="left"/>
      </w:pPr>
      <w:r>
        <w:t xml:space="preserve">Which view makes the most sense of the book of Revelation? Many lines of evidence support Futurism. That is, the book of Revelation describes the </w:t>
      </w:r>
      <w:r>
        <w:rPr>
          <w:i/>
        </w:rPr>
        <w:t>future</w:t>
      </w:r>
      <w:r>
        <w:t xml:space="preserve"> of human history—not the </w:t>
      </w:r>
      <w:r>
        <w:rPr>
          <w:i/>
        </w:rPr>
        <w:t>past</w:t>
      </w:r>
      <w:r>
        <w:t>.</w:t>
      </w:r>
    </w:p>
    <w:p w14:paraId="4D5A17F0" w14:textId="0B3A179E" w:rsidR="00876F3B" w:rsidRPr="00EE7AC3" w:rsidRDefault="00876F3B" w:rsidP="007B0D23">
      <w:pPr>
        <w:pStyle w:val="Heading4"/>
      </w:pPr>
      <w:bookmarkStart w:id="5" w:name="_Toc412370795"/>
      <w:r>
        <w:t xml:space="preserve">The </w:t>
      </w:r>
      <w:r w:rsidR="00171540">
        <w:t>B</w:t>
      </w:r>
      <w:r>
        <w:t>ook of Revelation does not predate AD 70</w:t>
      </w:r>
      <w:bookmarkEnd w:id="5"/>
    </w:p>
    <w:p w14:paraId="145538C4" w14:textId="77777777" w:rsidR="00876F3B" w:rsidRPr="00EE7AC3" w:rsidRDefault="00876F3B" w:rsidP="007B0D23">
      <w:pPr>
        <w:spacing w:line="240" w:lineRule="auto"/>
        <w:jc w:val="left"/>
      </w:pPr>
      <w:r>
        <w:t xml:space="preserve">The book of Revelation claims to be a book of “prophecy” about events in the future (Rev. 1:3; 22:7, 19). Therefore, </w:t>
      </w:r>
      <w:proofErr w:type="gramStart"/>
      <w:r>
        <w:t>in order for</w:t>
      </w:r>
      <w:proofErr w:type="gramEnd"/>
      <w:r>
        <w:t xml:space="preserve"> this book to be prophetic to the Preterist, it would need to be written </w:t>
      </w:r>
      <w:r>
        <w:rPr>
          <w:i/>
        </w:rPr>
        <w:t>before</w:t>
      </w:r>
      <w:r>
        <w:t xml:space="preserve"> the destruction of Jerusalem in AD 70. If the book wasn’t written before this time, then it would be a book of </w:t>
      </w:r>
      <w:r>
        <w:rPr>
          <w:i/>
        </w:rPr>
        <w:t>history</w:t>
      </w:r>
      <w:r>
        <w:t xml:space="preserve">—not </w:t>
      </w:r>
      <w:r>
        <w:rPr>
          <w:i/>
        </w:rPr>
        <w:t>prophecy</w:t>
      </w:r>
      <w:r>
        <w:t xml:space="preserve">. </w:t>
      </w:r>
      <w:proofErr w:type="gramStart"/>
      <w:r>
        <w:t>Thus</w:t>
      </w:r>
      <w:proofErr w:type="gramEnd"/>
      <w:r>
        <w:t xml:space="preserve"> if Revelation dates after AD 70, then Preterism is simply false. Preterist Ken Gentry admits this key fact:</w:t>
      </w:r>
    </w:p>
    <w:p w14:paraId="246F843B" w14:textId="77777777" w:rsidR="00876F3B" w:rsidRPr="00EE7AC3" w:rsidRDefault="00876F3B" w:rsidP="007B0D23">
      <w:pPr>
        <w:spacing w:line="240" w:lineRule="auto"/>
        <w:ind w:left="720"/>
        <w:jc w:val="left"/>
      </w:pPr>
      <w:r>
        <w:t xml:space="preserve">If the </w:t>
      </w:r>
      <w:proofErr w:type="gramStart"/>
      <w:r>
        <w:t>late-date</w:t>
      </w:r>
      <w:proofErr w:type="gramEnd"/>
      <w:r>
        <w:t xml:space="preserve"> of around A.D. 95-96 is accepted, a wholly different situation would prevail. The events in the mid to late 60s of the first century would be </w:t>
      </w:r>
      <w:r>
        <w:rPr>
          <w:i/>
        </w:rPr>
        <w:t>absolutely excluded</w:t>
      </w:r>
      <w:r>
        <w:t xml:space="preserve"> as possible fulfillments. The prophecies within Revelation would be opened to an abundance of speculative scenarios, which could be extrapolated into the indefinite future. Revelation might… focus exclusively on the end of history, which would begin approaching thousands of years after John’s time, either before, after, or during the tribulation or the millennium. The purpose of Revelation would then be to show early Christians that things will get worse, that history will be a time of constant and increased suffering for the Church.</w:t>
      </w:r>
      <w:r>
        <w:rPr>
          <w:vertAlign w:val="superscript"/>
        </w:rPr>
        <w:footnoteReference w:id="4"/>
      </w:r>
    </w:p>
    <w:p w14:paraId="65309AC8" w14:textId="77777777" w:rsidR="00876F3B" w:rsidRPr="00EE7AC3" w:rsidRDefault="00876F3B" w:rsidP="007B0D23">
      <w:pPr>
        <w:spacing w:line="240" w:lineRule="auto"/>
        <w:jc w:val="left"/>
      </w:pPr>
      <w:r>
        <w:t>Likewise, Preterist R.C. Sproul writes,</w:t>
      </w:r>
    </w:p>
    <w:p w14:paraId="14AED236" w14:textId="77777777" w:rsidR="00876F3B" w:rsidRPr="00EE7AC3" w:rsidRDefault="00876F3B" w:rsidP="007B0D23">
      <w:pPr>
        <w:spacing w:line="240" w:lineRule="auto"/>
        <w:ind w:left="720"/>
        <w:jc w:val="left"/>
      </w:pPr>
      <w:r>
        <w:t xml:space="preserve">If the book was written after A.D. 70, then its contents manifestly do not refer to events surrounding the fall of Jerusalem—unless the book is a wholesale fraud, having been composed after the predicted events had already occurred… The burden for Preterists then is to demonstrate that Revelation was written </w:t>
      </w:r>
      <w:r>
        <w:rPr>
          <w:i/>
        </w:rPr>
        <w:t>before</w:t>
      </w:r>
      <w:r>
        <w:t xml:space="preserve"> A.D. 70.</w:t>
      </w:r>
      <w:r>
        <w:rPr>
          <w:vertAlign w:val="superscript"/>
        </w:rPr>
        <w:footnoteReference w:id="5"/>
      </w:r>
    </w:p>
    <w:p w14:paraId="11C31625" w14:textId="77777777" w:rsidR="00876F3B" w:rsidRPr="00EE7AC3" w:rsidRDefault="00876F3B" w:rsidP="007B0D23">
      <w:pPr>
        <w:spacing w:line="240" w:lineRule="auto"/>
        <w:jc w:val="left"/>
      </w:pPr>
      <w:r>
        <w:t>On the other hand, if a person believes that the book of Revelation predicts the end of human history, it wouldn’t matter when it was dated. For instance, Futurist Zane Hodges holds to the early date of Revelation,</w:t>
      </w:r>
      <w:r>
        <w:rPr>
          <w:vertAlign w:val="superscript"/>
        </w:rPr>
        <w:footnoteReference w:id="6"/>
      </w:r>
      <w:r>
        <w:t xml:space="preserve"> but this doesn’t affect his Futurist interpretation of Revelation at all. The dating of Revelation is </w:t>
      </w:r>
      <w:r>
        <w:rPr>
          <w:i/>
        </w:rPr>
        <w:t>inconsequential</w:t>
      </w:r>
      <w:r>
        <w:t xml:space="preserve"> for the Futurist interpreter, but it is </w:t>
      </w:r>
      <w:r>
        <w:rPr>
          <w:i/>
        </w:rPr>
        <w:t>essential</w:t>
      </w:r>
      <w:r>
        <w:t xml:space="preserve"> for the Preterist.</w:t>
      </w:r>
    </w:p>
    <w:p w14:paraId="04354996" w14:textId="77777777" w:rsidR="00876F3B" w:rsidRPr="00EE7AC3" w:rsidRDefault="00876F3B" w:rsidP="007B0D23">
      <w:pPr>
        <w:spacing w:line="240" w:lineRule="auto"/>
        <w:jc w:val="left"/>
      </w:pPr>
      <w:r>
        <w:t xml:space="preserve">Surprisingly, many Preterists do not address this key issue. For instance, in his 700-page commentary on Revelation, Preterist David Chilton only spends three and a half pages </w:t>
      </w:r>
      <w:r>
        <w:lastRenderedPageBreak/>
        <w:t xml:space="preserve">securing the early date for the book (whereas he spends </w:t>
      </w:r>
      <w:r>
        <w:rPr>
          <w:i/>
        </w:rPr>
        <w:t>nine</w:t>
      </w:r>
      <w:r>
        <w:t xml:space="preserve"> pages interpreting the “666” of Revelation 13:18).</w:t>
      </w:r>
      <w:r>
        <w:rPr>
          <w:rStyle w:val="FootnoteReference"/>
        </w:rPr>
        <w:footnoteReference w:id="7"/>
      </w:r>
    </w:p>
    <w:p w14:paraId="0B549F31" w14:textId="77777777" w:rsidR="00876F3B" w:rsidRPr="00EE7AC3" w:rsidRDefault="00876F3B" w:rsidP="007B0D23">
      <w:pPr>
        <w:pStyle w:val="Heading4"/>
      </w:pPr>
      <w:r>
        <w:t>Dating the book of Revelation: AD 65 or 95?</w:t>
      </w:r>
    </w:p>
    <w:p w14:paraId="486BC7E8" w14:textId="77777777" w:rsidR="00876F3B" w:rsidRPr="00EE7AC3" w:rsidRDefault="00876F3B" w:rsidP="007B0D23">
      <w:pPr>
        <w:spacing w:line="240" w:lineRule="auto"/>
        <w:jc w:val="left"/>
      </w:pPr>
      <w:r>
        <w:t>When should we date the book of Revelation? Tremendous evidence supports a late dating of AD 95 under the Roman Emperor Domitian, rather than AD 65 under the Roman Emperor Nero:</w:t>
      </w:r>
    </w:p>
    <w:p w14:paraId="69E0F675" w14:textId="77777777" w:rsidR="00876F3B" w:rsidRPr="00EE7AC3" w:rsidRDefault="00876F3B" w:rsidP="007B0D23">
      <w:pPr>
        <w:spacing w:line="240" w:lineRule="auto"/>
        <w:jc w:val="left"/>
      </w:pPr>
      <w:r w:rsidRPr="0031525F">
        <w:rPr>
          <w:b/>
          <w:bCs/>
          <w:iCs/>
        </w:rPr>
        <w:t>First, the early theologians of the Church held to the late date—not the early date.</w:t>
      </w:r>
      <w:r>
        <w:t xml:space="preserve"> Irenaeus (AD 180) states that John wrote “at the end of the reign of Domitian.”</w:t>
      </w:r>
      <w:r>
        <w:rPr>
          <w:vertAlign w:val="superscript"/>
        </w:rPr>
        <w:footnoteReference w:id="8"/>
      </w:r>
      <w:r>
        <w:t xml:space="preserve"> Irenaeus was the disciple of Polycarp (who was the disciple of John, the author of Revelation). Irenaeus also lived in Smyrna where the book of Revelation circulated.</w:t>
      </w:r>
      <w:r>
        <w:rPr>
          <w:vertAlign w:val="superscript"/>
        </w:rPr>
        <w:footnoteReference w:id="9"/>
      </w:r>
      <w:r>
        <w:t xml:space="preserve"> In his book </w:t>
      </w:r>
      <w:r>
        <w:rPr>
          <w:i/>
        </w:rPr>
        <w:t>Against Heresies</w:t>
      </w:r>
      <w:r>
        <w:t xml:space="preserve"> (5:30), Irenaeus devotes an entire chapter to the number of the beast (Rev. 13:18), so the context clearly speaks of the end of history. Since Domitian died in AD 96, this would date the book of Revelation around AD 95.</w:t>
      </w:r>
    </w:p>
    <w:p w14:paraId="765BC4E9" w14:textId="77777777" w:rsidR="00876F3B" w:rsidRPr="00EE7AC3" w:rsidRDefault="00876F3B" w:rsidP="007B0D23">
      <w:pPr>
        <w:spacing w:line="240" w:lineRule="auto"/>
        <w:jc w:val="left"/>
      </w:pPr>
      <w:r>
        <w:t>Preterists argue that Irenaeus isn’t a reliable authority, because he also claimed Jesus was 40 when he died.</w:t>
      </w:r>
      <w:r>
        <w:rPr>
          <w:rStyle w:val="FootnoteReference"/>
        </w:rPr>
        <w:footnoteReference w:id="10"/>
      </w:r>
      <w:r>
        <w:t xml:space="preserve"> If Irenaeus could be wrong about this, why would we trust him in the dating of Revelation? Gentry writes that this example “should demonstrate clearly that he could (he did at least once!) err on matters of historical detail—even when he claimed the authority of eyewitness accounts.”</w:t>
      </w:r>
      <w:r>
        <w:rPr>
          <w:rStyle w:val="FootnoteReference"/>
        </w:rPr>
        <w:footnoteReference w:id="11"/>
      </w:r>
    </w:p>
    <w:p w14:paraId="399E19C1" w14:textId="77777777" w:rsidR="00876F3B" w:rsidRPr="00EE7AC3" w:rsidRDefault="00876F3B" w:rsidP="007B0D23">
      <w:pPr>
        <w:spacing w:line="240" w:lineRule="auto"/>
        <w:jc w:val="left"/>
      </w:pPr>
      <w:r>
        <w:t xml:space="preserve">However, Irenaeus primarily based this conclusion on a misinterpretation of John 8:57 (“You are not yet fifty years old”). In other words, this was an </w:t>
      </w:r>
      <w:r>
        <w:rPr>
          <w:i/>
        </w:rPr>
        <w:t>interpretive</w:t>
      </w:r>
      <w:r>
        <w:t xml:space="preserve"> error—not a </w:t>
      </w:r>
      <w:r>
        <w:rPr>
          <w:i/>
        </w:rPr>
        <w:t>historical</w:t>
      </w:r>
      <w:r>
        <w:t xml:space="preserve"> one. What student of Scripture cannot be guilty of interpreting the Bible erroneously from time to time?</w:t>
      </w:r>
    </w:p>
    <w:p w14:paraId="014EC561" w14:textId="77777777" w:rsidR="00876F3B" w:rsidRPr="00EE7AC3" w:rsidRDefault="00876F3B" w:rsidP="007B0D23">
      <w:pPr>
        <w:spacing w:line="240" w:lineRule="auto"/>
        <w:jc w:val="left"/>
      </w:pPr>
      <w:r>
        <w:t>Besides this error regarding Jesus’ age, Irenaeus typically offers very reliable historical testimony. Even early date advocates will speak of Irenaeus’ other historical testimony as typically “clear and weighty.”</w:t>
      </w:r>
      <w:r>
        <w:rPr>
          <w:rStyle w:val="FootnoteReference"/>
        </w:rPr>
        <w:footnoteReference w:id="12"/>
      </w:r>
      <w:r>
        <w:t xml:space="preserve"> Moreover, in one breath, Preterist Hank Hanegraaff will </w:t>
      </w:r>
      <w:r>
        <w:rPr>
          <w:i/>
        </w:rPr>
        <w:t>appeal</w:t>
      </w:r>
      <w:r>
        <w:t xml:space="preserve"> to the historical reliability of Irenaeus when supporting the historicity of the NT documents,</w:t>
      </w:r>
      <w:r>
        <w:rPr>
          <w:rStyle w:val="FootnoteReference"/>
        </w:rPr>
        <w:footnoteReference w:id="13"/>
      </w:r>
      <w:r>
        <w:t xml:space="preserve"> but will </w:t>
      </w:r>
      <w:r>
        <w:rPr>
          <w:i/>
        </w:rPr>
        <w:t>repeal</w:t>
      </w:r>
      <w:r>
        <w:t xml:space="preserve"> his trust in Irenaeus’ reliability when dating the book of Revelation.</w:t>
      </w:r>
      <w:r>
        <w:rPr>
          <w:rStyle w:val="FootnoteReference"/>
        </w:rPr>
        <w:footnoteReference w:id="14"/>
      </w:r>
      <w:r>
        <w:t xml:space="preserve"> This sort of inconsistency could make your head spin!</w:t>
      </w:r>
    </w:p>
    <w:p w14:paraId="45F6B98F" w14:textId="77777777" w:rsidR="00876F3B" w:rsidRPr="00EE7AC3" w:rsidRDefault="00876F3B" w:rsidP="007B0D23">
      <w:pPr>
        <w:spacing w:line="240" w:lineRule="auto"/>
        <w:jc w:val="left"/>
      </w:pPr>
      <w:r>
        <w:lastRenderedPageBreak/>
        <w:t>In addition to Irenaeus, Victorinus (AD 304) wrote the earliest known commentary on Revelation, and he held to the late date,</w:t>
      </w:r>
      <w:r>
        <w:rPr>
          <w:vertAlign w:val="superscript"/>
        </w:rPr>
        <w:footnoteReference w:id="15"/>
      </w:r>
      <w:r>
        <w:t xml:space="preserve"> as did the church historian Eusebius (AD 260-340).</w:t>
      </w:r>
      <w:r>
        <w:rPr>
          <w:vertAlign w:val="superscript"/>
        </w:rPr>
        <w:footnoteReference w:id="16"/>
      </w:r>
      <w:r>
        <w:t xml:space="preserve"> Gentry argues that these sources don’t add up as </w:t>
      </w:r>
      <w:r>
        <w:rPr>
          <w:i/>
        </w:rPr>
        <w:t>separate</w:t>
      </w:r>
      <w:r>
        <w:t xml:space="preserve"> witnesses, but merely </w:t>
      </w:r>
      <w:r>
        <w:rPr>
          <w:i/>
        </w:rPr>
        <w:t>repeat</w:t>
      </w:r>
      <w:r>
        <w:t xml:space="preserve"> the first witness: Irenaeus.</w:t>
      </w:r>
      <w:r>
        <w:rPr>
          <w:vertAlign w:val="superscript"/>
        </w:rPr>
        <w:footnoteReference w:id="17"/>
      </w:r>
      <w:r>
        <w:t xml:space="preserve"> Yet, Gentry shoots himself in the foot when he also notes that the “church fathers did </w:t>
      </w:r>
      <w:r>
        <w:rPr>
          <w:i/>
        </w:rPr>
        <w:t>not</w:t>
      </w:r>
      <w:r>
        <w:t xml:space="preserve"> accept necessarily Irenaeus’s authority as conclusive” in other areas.</w:t>
      </w:r>
      <w:r>
        <w:rPr>
          <w:vertAlign w:val="superscript"/>
        </w:rPr>
        <w:footnoteReference w:id="18"/>
      </w:r>
      <w:r>
        <w:t xml:space="preserve"> Gentry goes on to note that Eusebius didn’t believe Irenaeus in two key areas: (1) Papias meeting John</w:t>
      </w:r>
      <w:r>
        <w:rPr>
          <w:rStyle w:val="FootnoteReference"/>
        </w:rPr>
        <w:footnoteReference w:id="19"/>
      </w:r>
      <w:r>
        <w:t xml:space="preserve"> and (2) the apostle John’s authorship of Revelation.</w:t>
      </w:r>
      <w:r>
        <w:rPr>
          <w:rStyle w:val="FootnoteReference"/>
        </w:rPr>
        <w:footnoteReference w:id="20"/>
      </w:r>
      <w:r>
        <w:t xml:space="preserve"> He can’t have it both ways.</w:t>
      </w:r>
    </w:p>
    <w:p w14:paraId="253979F2" w14:textId="77777777" w:rsidR="00876F3B" w:rsidRPr="00EE7AC3" w:rsidRDefault="00876F3B" w:rsidP="007B0D23">
      <w:pPr>
        <w:spacing w:line="240" w:lineRule="auto"/>
        <w:jc w:val="left"/>
      </w:pPr>
      <w:r>
        <w:t xml:space="preserve">In contrast to the evidence for the late date, the early date isn’t affirmed until centuries later. Theologian Mark Hitchcock writes, “The first clear, accepted, unambiguous witness to the </w:t>
      </w:r>
      <w:proofErr w:type="spellStart"/>
      <w:r>
        <w:t>Neronic</w:t>
      </w:r>
      <w:proofErr w:type="spellEnd"/>
      <w:r>
        <w:t xml:space="preserve"> date is a one-line superscription in two Syriac versions of the New Testament in the sixth and seventh centuries.”</w:t>
      </w:r>
      <w:r>
        <w:rPr>
          <w:vertAlign w:val="superscript"/>
        </w:rPr>
        <w:footnoteReference w:id="21"/>
      </w:r>
    </w:p>
    <w:p w14:paraId="2907F36F" w14:textId="77777777" w:rsidR="00876F3B" w:rsidRPr="00EE7AC3" w:rsidRDefault="00876F3B" w:rsidP="007B0D23">
      <w:pPr>
        <w:spacing w:line="240" w:lineRule="auto"/>
        <w:jc w:val="left"/>
      </w:pPr>
      <w:r w:rsidRPr="0031525F">
        <w:rPr>
          <w:b/>
          <w:bCs/>
          <w:iCs/>
        </w:rPr>
        <w:t>Second, if the early date is true, then John and Paul would have both served in Ephesus at the same time.</w:t>
      </w:r>
      <w:r>
        <w:t xml:space="preserve"> At the end of 2 Timothy, Paul references 17 coworkers by name, but he never mentions the </w:t>
      </w:r>
      <w:proofErr w:type="gramStart"/>
      <w:r>
        <w:t>apostle</w:t>
      </w:r>
      <w:proofErr w:type="gramEnd"/>
      <w:r>
        <w:t xml:space="preserve"> John. Why wouldn’t Paul tell the struggling and timid Timothy to get help from such a powerful Christian leader like John? Likewise, Jesus names several leaders in his letters to the seven churches of Revelation 2 and 3, but he never mentions Paul or Timothy when he speaks to the church of Ephesus (Rev. 2:1-7). This would be </w:t>
      </w:r>
      <w:proofErr w:type="gramStart"/>
      <w:r>
        <w:t>similar to</w:t>
      </w:r>
      <w:proofErr w:type="gramEnd"/>
      <w:r>
        <w:t xml:space="preserve"> writing a letter to the White House about American politics without mentioning the President. Of course, these are arguments from silence, but they are </w:t>
      </w:r>
      <w:r>
        <w:rPr>
          <w:i/>
        </w:rPr>
        <w:t>conspicuous</w:t>
      </w:r>
      <w:r>
        <w:t xml:space="preserve"> silences. We would </w:t>
      </w:r>
      <w:r>
        <w:rPr>
          <w:i/>
        </w:rPr>
        <w:t>expect</w:t>
      </w:r>
      <w:r>
        <w:t xml:space="preserve"> to read about these key Christians leaders if they were leading alongside one another.</w:t>
      </w:r>
    </w:p>
    <w:p w14:paraId="3112BDD8" w14:textId="77777777" w:rsidR="00876F3B" w:rsidRPr="00EE7AC3" w:rsidRDefault="00876F3B" w:rsidP="007B0D23">
      <w:pPr>
        <w:spacing w:line="240" w:lineRule="auto"/>
        <w:jc w:val="left"/>
      </w:pPr>
      <w:r w:rsidRPr="0031525F">
        <w:rPr>
          <w:b/>
          <w:bCs/>
          <w:iCs/>
        </w:rPr>
        <w:t>Third, the late date makes sense of the church of Smyrna.</w:t>
      </w:r>
      <w:r>
        <w:t xml:space="preserve"> Polycarp (AD 110) states that Smyrnaeans weren’t believers during the time of Paul.</w:t>
      </w:r>
      <w:r>
        <w:rPr>
          <w:vertAlign w:val="superscript"/>
        </w:rPr>
        <w:footnoteReference w:id="22"/>
      </w:r>
      <w:r>
        <w:t xml:space="preserve"> Jesus, however, speaks to an established church in Revelation 2:8-11, dating the book sometime after Paul’s death (AD 67).</w:t>
      </w:r>
    </w:p>
    <w:p w14:paraId="3709DD1D" w14:textId="77777777" w:rsidR="00876F3B" w:rsidRDefault="00876F3B" w:rsidP="007B0D23">
      <w:pPr>
        <w:spacing w:line="240" w:lineRule="auto"/>
        <w:jc w:val="left"/>
      </w:pPr>
      <w:r w:rsidRPr="0031525F">
        <w:rPr>
          <w:b/>
          <w:bCs/>
          <w:iCs/>
        </w:rPr>
        <w:t>Fourth, the late date makes sense of John’s banishment to Patmos (Rev. 1:9).</w:t>
      </w:r>
      <w:r>
        <w:t xml:space="preserve"> Clement tells us that John came back from Patmos (due to a banishing?) after “the death of the tyrant.”</w:t>
      </w:r>
      <w:r>
        <w:rPr>
          <w:rStyle w:val="FootnoteReference"/>
        </w:rPr>
        <w:footnoteReference w:id="23"/>
      </w:r>
      <w:r>
        <w:t xml:space="preserve"> If the early date for Revelation is true (AD 65), then why didn’t Nero simply </w:t>
      </w:r>
      <w:r>
        <w:rPr>
          <w:i/>
        </w:rPr>
        <w:t>execute</w:t>
      </w:r>
      <w:r>
        <w:t xml:space="preserve"> </w:t>
      </w:r>
      <w:r>
        <w:lastRenderedPageBreak/>
        <w:t xml:space="preserve">John, as he did with Peter and Paul? By contrast, the Roman emperor Domitian was far more likely to banish John, as he did with Flavia Domitilla in AD 95 to the island of </w:t>
      </w:r>
      <w:proofErr w:type="spellStart"/>
      <w:r>
        <w:t>Pandeteria</w:t>
      </w:r>
      <w:proofErr w:type="spellEnd"/>
      <w:r>
        <w:t>. Blomberg writes, “John’s brief exile on the island of Patmos (1:9) fits the mid-90s well, whereas there is no evidence of Christians being banished from their homelands by the government prior to this date.”</w:t>
      </w:r>
      <w:r>
        <w:rPr>
          <w:vertAlign w:val="superscript"/>
        </w:rPr>
        <w:footnoteReference w:id="24"/>
      </w:r>
    </w:p>
    <w:p w14:paraId="56A7AED0" w14:textId="77777777" w:rsidR="00F071D4" w:rsidRDefault="00F071D4" w:rsidP="007B0D23">
      <w:pPr>
        <w:spacing w:line="240" w:lineRule="auto"/>
        <w:jc w:val="left"/>
      </w:pPr>
    </w:p>
    <w:p w14:paraId="64FC8AFF" w14:textId="5E773A34" w:rsidR="00F071D4" w:rsidRDefault="00F071D4" w:rsidP="007B0D23">
      <w:pPr>
        <w:spacing w:line="240" w:lineRule="auto"/>
        <w:jc w:val="left"/>
      </w:pPr>
      <w:r>
        <w:rPr>
          <w:noProof/>
        </w:rPr>
        <w:drawing>
          <wp:inline distT="0" distB="0" distL="0" distR="0" wp14:anchorId="7E202B53" wp14:editId="1201979E">
            <wp:extent cx="5486400" cy="3201670"/>
            <wp:effectExtent l="0" t="0" r="0" b="0"/>
            <wp:docPr id="1757531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201670"/>
                    </a:xfrm>
                    <a:prstGeom prst="rect">
                      <a:avLst/>
                    </a:prstGeom>
                    <a:noFill/>
                    <a:ln>
                      <a:noFill/>
                    </a:ln>
                  </pic:spPr>
                </pic:pic>
              </a:graphicData>
            </a:graphic>
          </wp:inline>
        </w:drawing>
      </w:r>
    </w:p>
    <w:p w14:paraId="04E6DA6E" w14:textId="2B25890C" w:rsidR="00D41B6A" w:rsidRPr="00EE7AC3" w:rsidRDefault="00D41B6A" w:rsidP="007B0D23">
      <w:pPr>
        <w:spacing w:line="240" w:lineRule="auto"/>
        <w:jc w:val="center"/>
      </w:pPr>
    </w:p>
    <w:p w14:paraId="10746C9E" w14:textId="716910B7" w:rsidR="00876F3B" w:rsidRPr="00EE7AC3" w:rsidRDefault="00876F3B" w:rsidP="00D41B6A">
      <w:pPr>
        <w:pStyle w:val="Heading4"/>
      </w:pPr>
      <w:bookmarkStart w:id="6" w:name="_Toc412370796"/>
      <w:r>
        <w:t>The early Christian theologians and leaders didn’t hold to Preterism</w:t>
      </w:r>
      <w:bookmarkEnd w:id="6"/>
    </w:p>
    <w:p w14:paraId="5D779D06" w14:textId="77777777" w:rsidR="00876F3B" w:rsidRPr="00EE7AC3" w:rsidRDefault="00876F3B" w:rsidP="00D41B6A">
      <w:pPr>
        <w:spacing w:line="240" w:lineRule="auto"/>
        <w:jc w:val="left"/>
        <w:rPr>
          <w:szCs w:val="28"/>
        </w:rPr>
      </w:pPr>
      <w:r>
        <w:t>Remember, under the Preterist view, Christians in the first century would have been keenly aware that the predictions in the book of Revelation had already been fulfilled at the destruction of Jerusalem in AD 70. Yet the early Christians didn’t interpret Revelation in this way. They believed it referred to the end of human history—not the destruction of Jerusalem.</w:t>
      </w:r>
      <w:r>
        <w:rPr>
          <w:szCs w:val="28"/>
        </w:rPr>
        <w:t xml:space="preserve"> </w:t>
      </w:r>
      <w:r>
        <w:t xml:space="preserve">Theologian Alan Johnson writes, “[Preterism] did not appear till 1614, when a Spanish Jesuit named </w:t>
      </w:r>
      <w:proofErr w:type="spellStart"/>
      <w:r>
        <w:t>Alcasar</w:t>
      </w:r>
      <w:proofErr w:type="spellEnd"/>
      <w:r>
        <w:t xml:space="preserve"> developed its main lines.”</w:t>
      </w:r>
      <w:r>
        <w:rPr>
          <w:vertAlign w:val="superscript"/>
        </w:rPr>
        <w:footnoteReference w:id="25"/>
      </w:r>
    </w:p>
    <w:p w14:paraId="50CFCECA" w14:textId="77777777" w:rsidR="00876F3B" w:rsidRPr="00EE7AC3" w:rsidRDefault="00876F3B" w:rsidP="00D41B6A">
      <w:pPr>
        <w:spacing w:line="240" w:lineRule="auto"/>
        <w:jc w:val="left"/>
      </w:pPr>
      <w:r>
        <w:t xml:space="preserve">The </w:t>
      </w:r>
      <w:r>
        <w:rPr>
          <w:i/>
        </w:rPr>
        <w:t>Didache</w:t>
      </w:r>
      <w:r>
        <w:t xml:space="preserve"> (an early 2</w:t>
      </w:r>
      <w:r>
        <w:rPr>
          <w:vertAlign w:val="superscript"/>
        </w:rPr>
        <w:t>nd</w:t>
      </w:r>
      <w:r>
        <w:t xml:space="preserve"> century document) holds that Jesus’ teaching about the future called the Olivet Discourse (Mt. 24; Mk. 13; Lk. 21) is about “the last days.”</w:t>
      </w:r>
      <w:r>
        <w:rPr>
          <w:vertAlign w:val="superscript"/>
        </w:rPr>
        <w:footnoteReference w:id="26"/>
      </w:r>
      <w:r>
        <w:t xml:space="preserve"> It claims that the </w:t>
      </w:r>
      <w:r>
        <w:lastRenderedPageBreak/>
        <w:t>“false prophets”</w:t>
      </w:r>
      <w:r>
        <w:rPr>
          <w:vertAlign w:val="superscript"/>
        </w:rPr>
        <w:footnoteReference w:id="27"/>
      </w:r>
      <w:r>
        <w:t xml:space="preserve"> and the “world deceiver”</w:t>
      </w:r>
      <w:r>
        <w:rPr>
          <w:vertAlign w:val="superscript"/>
        </w:rPr>
        <w:footnoteReference w:id="28"/>
      </w:r>
      <w:r>
        <w:t xml:space="preserve"> (i.e. the Antichrist) haven’t appeared. It also states, “Then shall appear the signs of the truth… the resurrection of the dead—yet not of all, but as it is said: ‘The Lord shall come and all His saints with Him.’ Then shall the world see the Lord coming upon the clouds of heaven.”</w:t>
      </w:r>
      <w:r>
        <w:rPr>
          <w:vertAlign w:val="superscript"/>
        </w:rPr>
        <w:footnoteReference w:id="29"/>
      </w:r>
    </w:p>
    <w:p w14:paraId="4F3CEC88" w14:textId="77777777" w:rsidR="00876F3B" w:rsidRPr="00EE7AC3" w:rsidRDefault="00876F3B" w:rsidP="00D41B6A">
      <w:pPr>
        <w:spacing w:line="240" w:lineRule="auto"/>
        <w:jc w:val="left"/>
      </w:pPr>
      <w:r>
        <w:rPr>
          <w:i/>
        </w:rPr>
        <w:t>Papias</w:t>
      </w:r>
      <w:r>
        <w:t xml:space="preserve"> (AD 60-130) was one of John’s disciples (the author of Revelation). He writes, “There will be a millennium after the resurrection of the dead, when the kingdom of Christ will be set up in material form on this earth.”</w:t>
      </w:r>
      <w:r>
        <w:rPr>
          <w:rStyle w:val="FootnoteReference"/>
        </w:rPr>
        <w:footnoteReference w:id="30"/>
      </w:r>
    </w:p>
    <w:p w14:paraId="6F4AEC61" w14:textId="77777777" w:rsidR="00876F3B" w:rsidRPr="00EE7AC3" w:rsidRDefault="00876F3B" w:rsidP="00D41B6A">
      <w:pPr>
        <w:spacing w:line="240" w:lineRule="auto"/>
        <w:jc w:val="left"/>
      </w:pPr>
      <w:r>
        <w:rPr>
          <w:i/>
        </w:rPr>
        <w:t>The</w:t>
      </w:r>
      <w:r>
        <w:t xml:space="preserve"> </w:t>
      </w:r>
      <w:r>
        <w:rPr>
          <w:i/>
        </w:rPr>
        <w:t>Epistle of Barnabas</w:t>
      </w:r>
      <w:r>
        <w:t xml:space="preserve"> (2</w:t>
      </w:r>
      <w:r>
        <w:rPr>
          <w:vertAlign w:val="superscript"/>
        </w:rPr>
        <w:t>nd</w:t>
      </w:r>
      <w:r>
        <w:t xml:space="preserve"> century) interprets the Temple of Daniel 9:27 as being fulfilled spiritually in the Church,</w:t>
      </w:r>
      <w:r>
        <w:rPr>
          <w:vertAlign w:val="superscript"/>
        </w:rPr>
        <w:footnoteReference w:id="31"/>
      </w:r>
      <w:r>
        <w:t xml:space="preserve"> while the Preterist view holds that Daniel 9:27 refers to the destruction of the Temple in Jerusalem. The epistle states, “Ten kingdoms will reign over the earth, and after a little king </w:t>
      </w:r>
      <w:proofErr w:type="gramStart"/>
      <w:r>
        <w:t>will arise</w:t>
      </w:r>
      <w:proofErr w:type="gramEnd"/>
      <w:r>
        <w:t>, who will subdue three of the kings with a single blow.”</w:t>
      </w:r>
      <w:r>
        <w:rPr>
          <w:vertAlign w:val="superscript"/>
        </w:rPr>
        <w:footnoteReference w:id="32"/>
      </w:r>
    </w:p>
    <w:p w14:paraId="285B3050" w14:textId="77777777" w:rsidR="00876F3B" w:rsidRPr="00EE7AC3" w:rsidRDefault="00876F3B" w:rsidP="00D41B6A">
      <w:pPr>
        <w:spacing w:line="240" w:lineRule="auto"/>
        <w:jc w:val="left"/>
      </w:pPr>
      <w:r>
        <w:t xml:space="preserve">The </w:t>
      </w:r>
      <w:r>
        <w:rPr>
          <w:i/>
        </w:rPr>
        <w:t>Shepherd of Hermas</w:t>
      </w:r>
      <w:r>
        <w:t xml:space="preserve"> (an early 2</w:t>
      </w:r>
      <w:r>
        <w:rPr>
          <w:vertAlign w:val="superscript"/>
        </w:rPr>
        <w:t>nd</w:t>
      </w:r>
      <w:r>
        <w:t xml:space="preserve"> century document) speaks of the Tribulation as a </w:t>
      </w:r>
      <w:r>
        <w:rPr>
          <w:i/>
        </w:rPr>
        <w:t>future</w:t>
      </w:r>
      <w:r>
        <w:t xml:space="preserve"> event—not a </w:t>
      </w:r>
      <w:r>
        <w:rPr>
          <w:i/>
        </w:rPr>
        <w:t>past</w:t>
      </w:r>
      <w:r>
        <w:t xml:space="preserve"> event: “Happy is he who endures the great tribulation that is coming.”</w:t>
      </w:r>
      <w:r>
        <w:rPr>
          <w:vertAlign w:val="superscript"/>
        </w:rPr>
        <w:footnoteReference w:id="33"/>
      </w:r>
    </w:p>
    <w:p w14:paraId="4D593644" w14:textId="77777777" w:rsidR="00876F3B" w:rsidRPr="00EE7AC3" w:rsidRDefault="00876F3B" w:rsidP="00D41B6A">
      <w:pPr>
        <w:spacing w:line="240" w:lineRule="auto"/>
        <w:jc w:val="left"/>
      </w:pPr>
      <w:r>
        <w:rPr>
          <w:i/>
        </w:rPr>
        <w:t>Justin Martyr</w:t>
      </w:r>
      <w:r>
        <w:t xml:space="preserve"> (AD 150) writes, “He shall come from heaven with glory, when the man of apostasy, who speaks strange things against the Most High, shall venture to do unlawful deeds on the earth against us the Christians… </w:t>
      </w:r>
      <w:r>
        <w:rPr>
          <w:i/>
        </w:rPr>
        <w:t>the rest of the prophecy shall be fulfilled at His Second Coming</w:t>
      </w:r>
      <w:r>
        <w:t>.”</w:t>
      </w:r>
      <w:r>
        <w:rPr>
          <w:vertAlign w:val="superscript"/>
        </w:rPr>
        <w:footnoteReference w:id="34"/>
      </w:r>
      <w:r>
        <w:t xml:space="preserve"> Elsewhere he writes, “But I and others, who are right-minded Christians on all points, are assured that there will be a resurrection of the dead, and a thousand years in Jerusalem, which will then be built, adorned, and enlarged, as the prophets Ezekiel and Isaiah and others declare.”</w:t>
      </w:r>
      <w:r>
        <w:rPr>
          <w:vertAlign w:val="superscript"/>
        </w:rPr>
        <w:footnoteReference w:id="35"/>
      </w:r>
    </w:p>
    <w:p w14:paraId="7283BA4C" w14:textId="77777777" w:rsidR="00876F3B" w:rsidRPr="00EE7AC3" w:rsidRDefault="00876F3B" w:rsidP="00D41B6A">
      <w:pPr>
        <w:spacing w:line="240" w:lineRule="auto"/>
        <w:jc w:val="left"/>
      </w:pPr>
      <w:r>
        <w:rPr>
          <w:i/>
        </w:rPr>
        <w:t>Irenaeus</w:t>
      </w:r>
      <w:r>
        <w:t xml:space="preserve"> (AD 180) interpreted </w:t>
      </w:r>
      <w:proofErr w:type="gramStart"/>
      <w:r>
        <w:t>the events</w:t>
      </w:r>
      <w:proofErr w:type="gramEnd"/>
      <w:r>
        <w:t xml:space="preserve"> in Daniel 9:27 and 2 Thessalonians 2:3-5 in the </w:t>
      </w:r>
      <w:r>
        <w:rPr>
          <w:i/>
        </w:rPr>
        <w:t>future</w:t>
      </w:r>
      <w:r>
        <w:t xml:space="preserve"> tense—not the </w:t>
      </w:r>
      <w:r>
        <w:rPr>
          <w:i/>
        </w:rPr>
        <w:t>past</w:t>
      </w:r>
      <w:r>
        <w:t>. He writes that the kingdom of Daniel 2 will be split up into ten parts, and then wait for the Antichrist to appear.</w:t>
      </w:r>
      <w:r>
        <w:rPr>
          <w:vertAlign w:val="superscript"/>
        </w:rPr>
        <w:footnoteReference w:id="36"/>
      </w:r>
      <w:r>
        <w:t xml:space="preserve"> While Preterists believe that Emperor Nero was the Antichrist, Irenaeus states that the Antichrist has not appeared, writing, “It is therefore more certain, and less hazardous, to await the fulfillment of the prophecy.”</w:t>
      </w:r>
      <w:r>
        <w:rPr>
          <w:vertAlign w:val="superscript"/>
        </w:rPr>
        <w:footnoteReference w:id="37"/>
      </w:r>
      <w:r>
        <w:t xml:space="preserve"> He claims that we cannot know who the Antichrist is: “We will not, however, incur the risk of pronouncing positively as to the name of Antichrist; for if it were necessary that his name should be distinctly revealed in this present time, it would have been announced by him who beheld the apocalyptic vision.”</w:t>
      </w:r>
      <w:r>
        <w:rPr>
          <w:vertAlign w:val="superscript"/>
        </w:rPr>
        <w:footnoteReference w:id="38"/>
      </w:r>
    </w:p>
    <w:p w14:paraId="428EEF85" w14:textId="77777777" w:rsidR="00876F3B" w:rsidRPr="00EE7AC3" w:rsidRDefault="00876F3B" w:rsidP="00D41B6A">
      <w:pPr>
        <w:spacing w:line="240" w:lineRule="auto"/>
        <w:jc w:val="left"/>
      </w:pPr>
      <w:r>
        <w:lastRenderedPageBreak/>
        <w:t>Irenaeus believed in a future Temple in Jerusalem, and he claimed that the Antichrist will reign “for three years and six months, and sit in the temple at Jerusalem.”</w:t>
      </w:r>
      <w:r>
        <w:rPr>
          <w:vertAlign w:val="superscript"/>
        </w:rPr>
        <w:footnoteReference w:id="39"/>
      </w:r>
      <w:r>
        <w:t xml:space="preserve"> Irenaeus referred to the “first resurrection” (Rev. 20:6) as being fulfilled at the end of human history.</w:t>
      </w:r>
      <w:r>
        <w:rPr>
          <w:vertAlign w:val="superscript"/>
        </w:rPr>
        <w:footnoteReference w:id="40"/>
      </w:r>
      <w:r>
        <w:t xml:space="preserve"> He writes, “All these and other words were unquestionably spoken in reference to the resurrection of the just, which takes place after the coming of Antichrist.”</w:t>
      </w:r>
      <w:r>
        <w:rPr>
          <w:vertAlign w:val="superscript"/>
        </w:rPr>
        <w:footnoteReference w:id="41"/>
      </w:r>
      <w:r>
        <w:t xml:space="preserve"> Crutchfield notes, “</w:t>
      </w:r>
      <w:r>
        <w:rPr>
          <w:rFonts w:eastAsia="Times New Roman"/>
        </w:rPr>
        <w:t xml:space="preserve">As a resident teacher in Ephesus in his declining years, John must be reckoned the cause of the uncommon fertility of millenarianism [a future thousand year reign of Christ] in Asia Minor. His views were championed by his immediate disciples Polycarp and Papias, who in turn influenced the eschatological views of other Church leaders until the Council of </w:t>
      </w:r>
      <w:proofErr w:type="spellStart"/>
      <w:r>
        <w:rPr>
          <w:rFonts w:eastAsia="Times New Roman"/>
        </w:rPr>
        <w:t>Nicea</w:t>
      </w:r>
      <w:proofErr w:type="spellEnd"/>
      <w:r>
        <w:rPr>
          <w:rFonts w:eastAsia="Times New Roman"/>
        </w:rPr>
        <w:t>.”</w:t>
      </w:r>
      <w:r>
        <w:rPr>
          <w:rStyle w:val="FootnoteReference"/>
          <w:rFonts w:eastAsia="Times New Roman"/>
        </w:rPr>
        <w:footnoteReference w:id="42"/>
      </w:r>
    </w:p>
    <w:p w14:paraId="0087892D" w14:textId="77777777" w:rsidR="00876F3B" w:rsidRPr="00EE7AC3" w:rsidRDefault="00876F3B" w:rsidP="00D41B6A">
      <w:pPr>
        <w:spacing w:line="240" w:lineRule="auto"/>
        <w:jc w:val="left"/>
      </w:pPr>
      <w:r>
        <w:rPr>
          <w:i/>
        </w:rPr>
        <w:t>Commodianus</w:t>
      </w:r>
      <w:r>
        <w:t xml:space="preserve"> (AD 250) wrote that some will be “living again in the world for a thousand years” and “they, who make God of no account when the thousandth year is finished, shall perish by fire.”</w:t>
      </w:r>
      <w:r>
        <w:rPr>
          <w:rStyle w:val="FootnoteReference"/>
        </w:rPr>
        <w:footnoteReference w:id="43"/>
      </w:r>
    </w:p>
    <w:p w14:paraId="6AA63E3D" w14:textId="77777777" w:rsidR="00876F3B" w:rsidRDefault="00876F3B" w:rsidP="00D41B6A">
      <w:pPr>
        <w:spacing w:line="240" w:lineRule="auto"/>
        <w:jc w:val="left"/>
      </w:pPr>
      <w:proofErr w:type="spellStart"/>
      <w:r>
        <w:rPr>
          <w:i/>
        </w:rPr>
        <w:t>Lactanius</w:t>
      </w:r>
      <w:proofErr w:type="spellEnd"/>
      <w:r>
        <w:t xml:space="preserve"> (AD 300) wrote that Christ “will Himself reign with them on the earth, and will build the holy city, and this kingdom of the righteous shall be for a thousand years.”</w:t>
      </w:r>
      <w:r>
        <w:rPr>
          <w:rStyle w:val="FootnoteReference"/>
        </w:rPr>
        <w:footnoteReference w:id="44"/>
      </w:r>
    </w:p>
    <w:p w14:paraId="350CBAB6" w14:textId="5D357F59" w:rsidR="00E34C8A" w:rsidRPr="00EE7AC3" w:rsidRDefault="00E34C8A" w:rsidP="00E34C8A">
      <w:pPr>
        <w:spacing w:line="240" w:lineRule="auto"/>
        <w:jc w:val="center"/>
      </w:pPr>
      <w:r>
        <w:rPr>
          <w:noProof/>
        </w:rPr>
        <w:lastRenderedPageBreak/>
        <w:drawing>
          <wp:inline distT="0" distB="0" distL="0" distR="0" wp14:anchorId="77053C9F" wp14:editId="1B8AFAE3">
            <wp:extent cx="5486400" cy="4115435"/>
            <wp:effectExtent l="0" t="0" r="0" b="0"/>
            <wp:docPr id="11434709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115435"/>
                    </a:xfrm>
                    <a:prstGeom prst="rect">
                      <a:avLst/>
                    </a:prstGeom>
                    <a:noFill/>
                    <a:ln>
                      <a:noFill/>
                    </a:ln>
                  </pic:spPr>
                </pic:pic>
              </a:graphicData>
            </a:graphic>
          </wp:inline>
        </w:drawing>
      </w:r>
    </w:p>
    <w:p w14:paraId="06AEA187" w14:textId="0361AF3F" w:rsidR="00876F3B" w:rsidRPr="00EE7AC3" w:rsidRDefault="00876F3B" w:rsidP="00D41B6A">
      <w:pPr>
        <w:spacing w:line="240" w:lineRule="auto"/>
        <w:jc w:val="left"/>
      </w:pPr>
      <w:r>
        <w:t xml:space="preserve">Surely, </w:t>
      </w:r>
      <w:proofErr w:type="gramStart"/>
      <w:r>
        <w:t>all of</w:t>
      </w:r>
      <w:proofErr w:type="gramEnd"/>
      <w:r>
        <w:t xml:space="preserve"> these early Christian leaders and theologians could be wrong. But here is the central question that confronts the Preterist interpreter: </w:t>
      </w:r>
      <w:r>
        <w:rPr>
          <w:i/>
        </w:rPr>
        <w:t>If Preterism was so clear to the original historical audience, why didn’t the earliest Christians adopt this view?</w:t>
      </w:r>
    </w:p>
    <w:p w14:paraId="74775E2E" w14:textId="77777777" w:rsidR="00876F3B" w:rsidRPr="00EE7AC3" w:rsidRDefault="00876F3B" w:rsidP="00D41B6A">
      <w:pPr>
        <w:pStyle w:val="Heading4"/>
      </w:pPr>
      <w:bookmarkStart w:id="7" w:name="_Toc412370797"/>
      <w:r>
        <w:t>What about Jesus claiming that he’s coming “soon” and his return is “near” (Rev. 1:1, 3)?</w:t>
      </w:r>
      <w:bookmarkEnd w:id="7"/>
    </w:p>
    <w:p w14:paraId="2264F603" w14:textId="77777777" w:rsidR="00876F3B" w:rsidRPr="00EE7AC3" w:rsidRDefault="00876F3B" w:rsidP="00D41B6A">
      <w:pPr>
        <w:spacing w:line="240" w:lineRule="auto"/>
        <w:jc w:val="left"/>
      </w:pPr>
      <w:r>
        <w:t xml:space="preserve">If Jesus wouldn’t return for at least two millennia, why would Revelation state that the events “must </w:t>
      </w:r>
      <w:r>
        <w:rPr>
          <w:i/>
        </w:rPr>
        <w:t>soon</w:t>
      </w:r>
      <w:r>
        <w:t xml:space="preserve"> take place” (Rev. 1:1) and are “near” (Rev. 1:3). Preterists argue that these terms should be taken at face value: Jesus did come “soon,” in AD 70 to destroy Jerusalem and the Temple.</w:t>
      </w:r>
    </w:p>
    <w:p w14:paraId="163E88C4" w14:textId="77777777" w:rsidR="00876F3B" w:rsidRPr="00EE7AC3" w:rsidRDefault="00876F3B" w:rsidP="00D41B6A">
      <w:pPr>
        <w:spacing w:line="240" w:lineRule="auto"/>
        <w:jc w:val="left"/>
      </w:pPr>
      <w:r>
        <w:t>However, these terms “soon” (</w:t>
      </w:r>
      <w:proofErr w:type="spellStart"/>
      <w:r>
        <w:rPr>
          <w:i/>
        </w:rPr>
        <w:t>tachos</w:t>
      </w:r>
      <w:proofErr w:type="spellEnd"/>
      <w:r>
        <w:t>) and “near” (</w:t>
      </w:r>
      <w:proofErr w:type="spellStart"/>
      <w:r>
        <w:rPr>
          <w:i/>
        </w:rPr>
        <w:t>eggus</w:t>
      </w:r>
      <w:proofErr w:type="spellEnd"/>
      <w:r>
        <w:t xml:space="preserve">) occur at the </w:t>
      </w:r>
      <w:r>
        <w:rPr>
          <w:i/>
        </w:rPr>
        <w:t>beginning</w:t>
      </w:r>
      <w:r>
        <w:t xml:space="preserve"> of the book of Revelation, </w:t>
      </w:r>
      <w:proofErr w:type="gramStart"/>
      <w:r>
        <w:t>and also</w:t>
      </w:r>
      <w:proofErr w:type="gramEnd"/>
      <w:r>
        <w:t xml:space="preserve"> at the </w:t>
      </w:r>
      <w:r>
        <w:rPr>
          <w:i/>
        </w:rPr>
        <w:t>end</w:t>
      </w:r>
      <w:r>
        <w:t xml:space="preserve"> (Rev. 22:6, 10). They form bookends (or what is called an </w:t>
      </w:r>
      <w:r>
        <w:rPr>
          <w:i/>
        </w:rPr>
        <w:t>inclusio</w:t>
      </w:r>
      <w:r>
        <w:t xml:space="preserve">) that makes the entire vision “soon” or “near.” Can we really believe that the entire book of Revelation has already been fulfilled—including Jesus’ Second Coming, the resurrection of the dead, and the New Heavens and Earth (Rev. 19-22)? Gentry consistently interprets Revelation in exactly this way. He sees Revelation 21 as a picture of “the gospel era, the church age… because of her heavenly source, divine blessing, redemptive promises, </w:t>
      </w:r>
      <w:r>
        <w:lastRenderedPageBreak/>
        <w:t>and future glory.”</w:t>
      </w:r>
      <w:r>
        <w:rPr>
          <w:vertAlign w:val="superscript"/>
        </w:rPr>
        <w:footnoteReference w:id="45"/>
      </w:r>
      <w:r>
        <w:t xml:space="preserve"> Thus we experience no more tears, death, mourning, crying, or pain “in principle” according to Gentry.</w:t>
      </w:r>
      <w:r>
        <w:rPr>
          <w:vertAlign w:val="superscript"/>
        </w:rPr>
        <w:footnoteReference w:id="46"/>
      </w:r>
    </w:p>
    <w:p w14:paraId="7811791A" w14:textId="77777777" w:rsidR="00876F3B" w:rsidRPr="00EE7AC3" w:rsidRDefault="00876F3B" w:rsidP="00D41B6A">
      <w:pPr>
        <w:spacing w:line="240" w:lineRule="auto"/>
        <w:jc w:val="left"/>
      </w:pPr>
      <w:r>
        <w:t xml:space="preserve">Futurists reject such a bizarre interpretation. Instead, the term “soon” comes from the Greek </w:t>
      </w:r>
      <w:proofErr w:type="spellStart"/>
      <w:r>
        <w:rPr>
          <w:i/>
        </w:rPr>
        <w:t>tachos</w:t>
      </w:r>
      <w:proofErr w:type="spellEnd"/>
      <w:r>
        <w:t xml:space="preserve"> which is where we get our term </w:t>
      </w:r>
      <w:r>
        <w:rPr>
          <w:i/>
        </w:rPr>
        <w:t>tachometer</w:t>
      </w:r>
      <w:r>
        <w:t xml:space="preserve"> (a device that measures the </w:t>
      </w:r>
      <w:proofErr w:type="gramStart"/>
      <w:r>
        <w:t>RPM’s</w:t>
      </w:r>
      <w:proofErr w:type="gramEnd"/>
      <w:r>
        <w:t xml:space="preserve"> of car engines). This Greek word can also be rendered as “quickly” (Lk. 18:8; Acts 12:7). In other words, when the first domino falls, the rest will fall quickly after them. Benware writes, “These words are not to be understood as chronological indicators telling the reader </w:t>
      </w:r>
      <w:r>
        <w:rPr>
          <w:i/>
        </w:rPr>
        <w:t xml:space="preserve">when </w:t>
      </w:r>
      <w:r>
        <w:t xml:space="preserve">the Lord is returning. Rather, they are to be taken as qualitative indicators describing </w:t>
      </w:r>
      <w:r>
        <w:rPr>
          <w:i/>
        </w:rPr>
        <w:t xml:space="preserve">how </w:t>
      </w:r>
      <w:r>
        <w:t>the Lord Jesus will return. He will return ‘suddenly.’”</w:t>
      </w:r>
      <w:r>
        <w:rPr>
          <w:vertAlign w:val="superscript"/>
        </w:rPr>
        <w:footnoteReference w:id="47"/>
      </w:r>
      <w:r>
        <w:t xml:space="preserve"> Moreover, since God views time differently as an eternal being, these terms (“soon” and “near”) could be relative to God’s perspective of time. In the context of writing about the delay of Jesus’ return, Peter writes, “With the Lord one day is like a thousand years, and a thousand years like one day” (2 Pet. 3:8; cf. Ps. 90:4).</w:t>
      </w:r>
    </w:p>
    <w:p w14:paraId="515FD999" w14:textId="77777777" w:rsidR="00876F3B" w:rsidRPr="00EE7AC3" w:rsidRDefault="00876F3B" w:rsidP="00D41B6A">
      <w:pPr>
        <w:pStyle w:val="Heading4"/>
      </w:pPr>
      <w:bookmarkStart w:id="8" w:name="_Toc412370799"/>
      <w:r>
        <w:t>What about Jesus appearing to “those who pierced him” (Rev. 1:7)?</w:t>
      </w:r>
      <w:bookmarkEnd w:id="8"/>
    </w:p>
    <w:p w14:paraId="652BA5DC" w14:textId="77777777" w:rsidR="00876F3B" w:rsidRPr="00EE7AC3" w:rsidRDefault="00876F3B" w:rsidP="00D41B6A">
      <w:pPr>
        <w:spacing w:line="240" w:lineRule="auto"/>
        <w:jc w:val="left"/>
      </w:pPr>
      <w:r>
        <w:t xml:space="preserve">At the beginning of Revelation, John writes, “[Jesus] is coming with the clouds, and every eye will see Him, </w:t>
      </w:r>
      <w:r>
        <w:rPr>
          <w:i/>
        </w:rPr>
        <w:t>even those who pierced Him</w:t>
      </w:r>
      <w:r>
        <w:t>; and all the tribes of the earth will mourn over Him” (Rev. 1:7). Gentry writes, “John’s reference to Christ’s piercing demands a first-century focus if the theme is to be relevant and true, for those who pierced him are now long since deceased.”</w:t>
      </w:r>
      <w:r>
        <w:rPr>
          <w:vertAlign w:val="superscript"/>
        </w:rPr>
        <w:footnoteReference w:id="48"/>
      </w:r>
      <w:r>
        <w:t xml:space="preserve"> Of course, Preterists acknowledge that Jesus never appeared literally on the clouds in AD 70, but they argue that the OT uses this language of “coming on the clouds” to symbolically refer to God’s divine judgment (Isa. 19:1; Ps. 18:7-15; 104:3; Joel 2:1-2; Mic. 1:3-4). </w:t>
      </w:r>
      <w:proofErr w:type="gramStart"/>
      <w:r>
        <w:t>Thus</w:t>
      </w:r>
      <w:proofErr w:type="gramEnd"/>
      <w:r>
        <w:t xml:space="preserve"> this passage refers to </w:t>
      </w:r>
      <w:proofErr w:type="gramStart"/>
      <w:r>
        <w:t>all of</w:t>
      </w:r>
      <w:proofErr w:type="gramEnd"/>
      <w:r>
        <w:t xml:space="preserve"> the first century Jews “seeing Christ” when he invisibly judged Jerusalem. Moreover, when he writes that Jesus would appear to “all the tribes of the earth,” Preterists hold that this should not be translated </w:t>
      </w:r>
      <w:r>
        <w:rPr>
          <w:i/>
        </w:rPr>
        <w:t>earth</w:t>
      </w:r>
      <w:r>
        <w:t xml:space="preserve">, but </w:t>
      </w:r>
      <w:r>
        <w:rPr>
          <w:i/>
        </w:rPr>
        <w:t>land</w:t>
      </w:r>
      <w:r>
        <w:t xml:space="preserve"> instead.</w:t>
      </w:r>
      <w:r>
        <w:rPr>
          <w:vertAlign w:val="superscript"/>
        </w:rPr>
        <w:footnoteReference w:id="49"/>
      </w:r>
    </w:p>
    <w:p w14:paraId="5686DC9C" w14:textId="77777777" w:rsidR="00876F3B" w:rsidRPr="00EE7AC3" w:rsidRDefault="00876F3B" w:rsidP="00D41B6A">
      <w:pPr>
        <w:spacing w:line="240" w:lineRule="auto"/>
        <w:jc w:val="left"/>
      </w:pPr>
      <w:r>
        <w:t xml:space="preserve">However, this interpretation has serious problems. Just two verses earlier, John refers to Jesus as “the ruler of the kings of the </w:t>
      </w:r>
      <w:r>
        <w:rPr>
          <w:i/>
        </w:rPr>
        <w:t>earth</w:t>
      </w:r>
      <w:r>
        <w:t xml:space="preserve"> (Greek </w:t>
      </w:r>
      <w:proofErr w:type="spellStart"/>
      <w:r>
        <w:rPr>
          <w:i/>
        </w:rPr>
        <w:t>ge</w:t>
      </w:r>
      <w:proofErr w:type="spellEnd"/>
      <w:r>
        <w:t xml:space="preserve">)” (Rev. 1:5). John </w:t>
      </w:r>
      <w:proofErr w:type="gramStart"/>
      <w:r>
        <w:t>definitely uses</w:t>
      </w:r>
      <w:proofErr w:type="gramEnd"/>
      <w:r>
        <w:t xml:space="preserve"> this word to refer to the </w:t>
      </w:r>
      <w:r>
        <w:rPr>
          <w:i/>
        </w:rPr>
        <w:t>entire globe</w:t>
      </w:r>
      <w:r>
        <w:t xml:space="preserve">—not just </w:t>
      </w:r>
      <w:r>
        <w:rPr>
          <w:i/>
        </w:rPr>
        <w:t>Israel</w:t>
      </w:r>
      <w:r>
        <w:t>. In Revelation 3:10, he equates “those who dwell on the earth” with “the whole world.” While “earth” (</w:t>
      </w:r>
      <w:proofErr w:type="spellStart"/>
      <w:r>
        <w:rPr>
          <w:i/>
        </w:rPr>
        <w:t>ge</w:t>
      </w:r>
      <w:proofErr w:type="spellEnd"/>
      <w:r>
        <w:t xml:space="preserve">) can be translated as “land,” there is no justification for that rendering in this context—especially when the rest of the book of Revelation is </w:t>
      </w:r>
      <w:r>
        <w:rPr>
          <w:i/>
        </w:rPr>
        <w:t>global</w:t>
      </w:r>
      <w:r>
        <w:t xml:space="preserve"> in scope (Rev. 3:10; 6:10; 8:13; 11:10; 13:8, 12, 14; 14:6; 15:4; 17:2, 8). Interestingly, Chilton interprets Revelation 1:5 (“the kings of the earth”) as referring </w:t>
      </w:r>
      <w:r>
        <w:lastRenderedPageBreak/>
        <w:t xml:space="preserve">to the </w:t>
      </w:r>
      <w:r>
        <w:rPr>
          <w:i/>
        </w:rPr>
        <w:t xml:space="preserve">entire </w:t>
      </w:r>
      <w:proofErr w:type="gramStart"/>
      <w:r>
        <w:rPr>
          <w:i/>
        </w:rPr>
        <w:t>globe</w:t>
      </w:r>
      <w:r>
        <w:t>, but</w:t>
      </w:r>
      <w:proofErr w:type="gramEnd"/>
      <w:r>
        <w:t xml:space="preserve"> interprets Revelation 1:7 (“all the tribes of the earth”) to refer </w:t>
      </w:r>
      <w:r>
        <w:rPr>
          <w:i/>
        </w:rPr>
        <w:t>only to Israel</w:t>
      </w:r>
      <w:r>
        <w:t>.</w:t>
      </w:r>
      <w:r>
        <w:rPr>
          <w:rStyle w:val="FootnoteReference"/>
        </w:rPr>
        <w:footnoteReference w:id="50"/>
      </w:r>
    </w:p>
    <w:p w14:paraId="0ECA37E6" w14:textId="77777777" w:rsidR="00876F3B" w:rsidRPr="00EE7AC3" w:rsidRDefault="00876F3B" w:rsidP="00D41B6A">
      <w:pPr>
        <w:spacing w:line="240" w:lineRule="auto"/>
        <w:jc w:val="left"/>
      </w:pPr>
      <w:r>
        <w:t xml:space="preserve">Furthermore, in Revelation 1:7, John quotes from Zechariah 12:10 (“every eye will see Him, even those who pierced Him; and all the tribes of the earth will mourn over Him”). Preterists interpret this passage to refer to Jesus’ </w:t>
      </w:r>
      <w:r>
        <w:rPr>
          <w:i/>
        </w:rPr>
        <w:t>destruction</w:t>
      </w:r>
      <w:r>
        <w:t xml:space="preserve"> of Jerusalem, but in context, Zechariah predicts the </w:t>
      </w:r>
      <w:r>
        <w:rPr>
          <w:i/>
        </w:rPr>
        <w:t>protection</w:t>
      </w:r>
      <w:r>
        <w:t xml:space="preserve"> of Israel from the pagan nations. Zechariah 12:9 states, “I will set about to destroy all the nations that come against Jerusalem.” </w:t>
      </w:r>
      <w:proofErr w:type="gramStart"/>
      <w:r>
        <w:t>Thus</w:t>
      </w:r>
      <w:proofErr w:type="gramEnd"/>
      <w:r>
        <w:t xml:space="preserve"> the Preterist interpretation directly contradicts Zechariah’s prediction.</w:t>
      </w:r>
    </w:p>
    <w:p w14:paraId="7ECF2341" w14:textId="77777777" w:rsidR="00876F3B" w:rsidRPr="00EE7AC3" w:rsidRDefault="00876F3B" w:rsidP="00D41B6A">
      <w:pPr>
        <w:spacing w:line="240" w:lineRule="auto"/>
        <w:jc w:val="left"/>
      </w:pPr>
      <w:r>
        <w:t xml:space="preserve">John claims that Jesus’ return will be a </w:t>
      </w:r>
      <w:r>
        <w:rPr>
          <w:i/>
        </w:rPr>
        <w:t>visible</w:t>
      </w:r>
      <w:r>
        <w:t xml:space="preserve"> event. He writes that “</w:t>
      </w:r>
      <w:r>
        <w:rPr>
          <w:i/>
        </w:rPr>
        <w:t>every</w:t>
      </w:r>
      <w:r>
        <w:t xml:space="preserve"> eye will see Him” (Rev. 1:7), which matches Jesus’ statement in Matthew 24:27 (“Just as the lightning comes from the east and flashes even to the west, so will the coming of the Son of Man be”). The angels even told the disciples that Jesus would return in the same way that he left Earth: “Jesus, who has been taken up from you into heaven, </w:t>
      </w:r>
      <w:r>
        <w:rPr>
          <w:i/>
        </w:rPr>
        <w:t>will come in just the same way as you have watched Him go into heaven</w:t>
      </w:r>
      <w:r>
        <w:t xml:space="preserve">” (Acts 1:11). Since Jesus left visibly </w:t>
      </w:r>
      <w:r>
        <w:rPr>
          <w:i/>
        </w:rPr>
        <w:t>into</w:t>
      </w:r>
      <w:r>
        <w:t xml:space="preserve"> the clouds, we should expect him to return visibly </w:t>
      </w:r>
      <w:r>
        <w:rPr>
          <w:i/>
        </w:rPr>
        <w:t>from</w:t>
      </w:r>
      <w:r>
        <w:t xml:space="preserve"> the clouds.</w:t>
      </w:r>
    </w:p>
    <w:p w14:paraId="6B88775C" w14:textId="77777777" w:rsidR="00876F3B" w:rsidRPr="00EE7AC3" w:rsidRDefault="00876F3B" w:rsidP="00D41B6A">
      <w:pPr>
        <w:spacing w:line="240" w:lineRule="auto"/>
        <w:jc w:val="left"/>
      </w:pPr>
      <w:r>
        <w:t xml:space="preserve">When John refers to “those who pierced him,” this probably refers to the Jewish people in general—not those first-century </w:t>
      </w:r>
      <w:proofErr w:type="gramStart"/>
      <w:r>
        <w:t>people in particular</w:t>
      </w:r>
      <w:proofErr w:type="gramEnd"/>
      <w:r>
        <w:t xml:space="preserve">. Only a relatively few people literally pierced Jesus on the Cross by driving the nails into his hands and feet. </w:t>
      </w:r>
      <w:proofErr w:type="gramStart"/>
      <w:r>
        <w:t>So</w:t>
      </w:r>
      <w:proofErr w:type="gramEnd"/>
      <w:r>
        <w:t xml:space="preserve"> </w:t>
      </w:r>
      <w:proofErr w:type="gramStart"/>
      <w:r>
        <w:t>a non</w:t>
      </w:r>
      <w:proofErr w:type="gramEnd"/>
      <w:r>
        <w:t xml:space="preserve">-literal interpretation is warranted. It’s interesting how Preterists take the time frame as </w:t>
      </w:r>
      <w:r>
        <w:rPr>
          <w:i/>
        </w:rPr>
        <w:t>literal</w:t>
      </w:r>
      <w:r>
        <w:t xml:space="preserve">, the city as </w:t>
      </w:r>
      <w:r>
        <w:rPr>
          <w:i/>
        </w:rPr>
        <w:t>literal</w:t>
      </w:r>
      <w:r>
        <w:t xml:space="preserve">, and the piercers as </w:t>
      </w:r>
      <w:r>
        <w:rPr>
          <w:i/>
        </w:rPr>
        <w:t>literal</w:t>
      </w:r>
      <w:r>
        <w:t>; but nothing else is taken literally.</w:t>
      </w:r>
    </w:p>
    <w:p w14:paraId="6D580346" w14:textId="77777777" w:rsidR="00876F3B" w:rsidRPr="00EE7AC3" w:rsidRDefault="00876F3B" w:rsidP="00D41B6A">
      <w:pPr>
        <w:pStyle w:val="Heading4"/>
      </w:pPr>
      <w:r>
        <w:t>Is the Temple of Revelation 11:2 the Temple of AD 70?</w:t>
      </w:r>
    </w:p>
    <w:p w14:paraId="64828233" w14:textId="77777777" w:rsidR="00876F3B" w:rsidRPr="00EE7AC3" w:rsidRDefault="00876F3B" w:rsidP="00D41B6A">
      <w:pPr>
        <w:spacing w:line="240" w:lineRule="auto"/>
        <w:jc w:val="left"/>
      </w:pPr>
      <w:r>
        <w:t>John writes of a Jewish temple in Jerusalem in Revelation 11:1-2. Because of this, Preterists argue that John must have been describing the Temple in Jerusalem in AD 70. Hanegraaff writes, “If the apostle John were indeed writing in AD 95, it seems incredible that he would make no mention whatsoever of the most apocalyptic event in Jewish history—the demolition of Jerusalem and the destruction of the temple at the hands of Titus.”</w:t>
      </w:r>
      <w:r>
        <w:rPr>
          <w:rStyle w:val="FootnoteReference"/>
        </w:rPr>
        <w:footnoteReference w:id="51"/>
      </w:r>
    </w:p>
    <w:p w14:paraId="7DC9BC69" w14:textId="77777777" w:rsidR="00876F3B" w:rsidRPr="00EE7AC3" w:rsidRDefault="00876F3B" w:rsidP="00D41B6A">
      <w:pPr>
        <w:spacing w:line="240" w:lineRule="auto"/>
        <w:jc w:val="left"/>
      </w:pPr>
      <w:r>
        <w:t xml:space="preserve">But this does not necessarily follow. Remember, when Daniel and Ezekiel wrote their books, the Jewish Temple lay in ruins. Yet </w:t>
      </w:r>
      <w:proofErr w:type="gramStart"/>
      <w:r>
        <w:t>both of these</w:t>
      </w:r>
      <w:proofErr w:type="gramEnd"/>
      <w:r>
        <w:t xml:space="preserve"> authors predicted a future temple (Ezek. 40-48; Dan. 9:24-27). Similarly, since John was writing “prophecy” (Rev. 1:3; 22:7, 19), we might very easily see him writing about a future temple as well. Moreover, since the seven (Gentile) churches of Revelation 2 and 3 existed several hundred miles from Jerusalem, he may have felt no need to write about the destruction of the Temple. While the destruction of Jerusalem in AD 70 was surely cataclysmic for Jerusalem Christians, these Gentile believers were far away from these events.</w:t>
      </w:r>
    </w:p>
    <w:p w14:paraId="3F4DF8D6" w14:textId="77777777" w:rsidR="00876F3B" w:rsidRPr="00EE7AC3" w:rsidRDefault="00876F3B" w:rsidP="00D41B6A">
      <w:pPr>
        <w:pStyle w:val="Heading4"/>
      </w:pPr>
      <w:bookmarkStart w:id="9" w:name="_Toc412370800"/>
      <w:r>
        <w:t>Doesn’t a Futurist interpretation deny first-century readers any understanding or application?</w:t>
      </w:r>
      <w:bookmarkEnd w:id="9"/>
    </w:p>
    <w:p w14:paraId="2D500AC7" w14:textId="77777777" w:rsidR="00876F3B" w:rsidRPr="00EE7AC3" w:rsidRDefault="00876F3B" w:rsidP="00D41B6A">
      <w:pPr>
        <w:spacing w:line="240" w:lineRule="auto"/>
        <w:jc w:val="left"/>
      </w:pPr>
      <w:r>
        <w:lastRenderedPageBreak/>
        <w:t xml:space="preserve">Preterists argue that a Futurist interpretation ignores the original context in which John was writing. In </w:t>
      </w:r>
      <w:proofErr w:type="gramStart"/>
      <w:r>
        <w:t>John’s day</w:t>
      </w:r>
      <w:proofErr w:type="gramEnd"/>
      <w:r>
        <w:t xml:space="preserve">, Rome ruthlessly persecuted the Church, and these believers surely needed encouragement for their suffering. </w:t>
      </w:r>
      <w:proofErr w:type="gramStart"/>
      <w:r>
        <w:t>Thus</w:t>
      </w:r>
      <w:proofErr w:type="gramEnd"/>
      <w:r>
        <w:t xml:space="preserve"> if John was writing a book about the end of human history, wouldn’t this neglect the needs of his original audience? J. Stuart Russell writes, “If the book were meant to unveil the secrets of distant times, must it not of necessity have been unintelligible to its first readers—and not only unintelligible, but even irrelevant and useless?”</w:t>
      </w:r>
      <w:r>
        <w:rPr>
          <w:rStyle w:val="FootnoteReference"/>
        </w:rPr>
        <w:footnoteReference w:id="52"/>
      </w:r>
    </w:p>
    <w:p w14:paraId="72BA3062" w14:textId="77777777" w:rsidR="00876F3B" w:rsidRPr="00EE7AC3" w:rsidRDefault="00876F3B" w:rsidP="00D41B6A">
      <w:pPr>
        <w:spacing w:line="240" w:lineRule="auto"/>
        <w:jc w:val="left"/>
      </w:pPr>
      <w:r>
        <w:t xml:space="preserve">While this objection seems to carry some weight, we need to remember that Revelation </w:t>
      </w:r>
      <w:r>
        <w:rPr>
          <w:i/>
        </w:rPr>
        <w:t>does</w:t>
      </w:r>
      <w:r>
        <w:t xml:space="preserve"> contain material for first-century churches. This is found in chapters 2 and 3. But once we reach chapter 4, John makes it clear that he is directing his focus to the future. Just as chapters 2 and 3 can impact us </w:t>
      </w:r>
      <w:r>
        <w:rPr>
          <w:i/>
        </w:rPr>
        <w:t>retrospectively</w:t>
      </w:r>
      <w:r>
        <w:t xml:space="preserve">, chapters 4 through 22 impact us </w:t>
      </w:r>
      <w:r>
        <w:rPr>
          <w:i/>
        </w:rPr>
        <w:t>prospectively</w:t>
      </w:r>
      <w:r>
        <w:t xml:space="preserve">—even if we don’t live during the </w:t>
      </w:r>
      <w:proofErr w:type="gramStart"/>
      <w:r>
        <w:t>time period</w:t>
      </w:r>
      <w:proofErr w:type="gramEnd"/>
      <w:r>
        <w:t xml:space="preserve"> in which these events take place.</w:t>
      </w:r>
    </w:p>
    <w:p w14:paraId="6BDF135D" w14:textId="77777777" w:rsidR="00876F3B" w:rsidRPr="00EE7AC3" w:rsidRDefault="00876F3B" w:rsidP="00D41B6A">
      <w:pPr>
        <w:spacing w:line="240" w:lineRule="auto"/>
        <w:jc w:val="left"/>
      </w:pPr>
      <w:r>
        <w:t xml:space="preserve">Like the OT prophets before him, John wrote about events in the future, even as his audience was suffering in the present. For instance, as Israel suffered massive persecution, Jeremiah predicted a </w:t>
      </w:r>
      <w:proofErr w:type="gramStart"/>
      <w:r>
        <w:t>70 year</w:t>
      </w:r>
      <w:proofErr w:type="gramEnd"/>
      <w:r>
        <w:t xml:space="preserve"> exile for a future generation (Jer. 25:11-12). While this did not exactly help Jeremiah’s current audience, Daniel lived a century later, and he took great comfort from this prediction (Dan. 9:2-3). Likewise, Isaiah predicted the coming of King Cyrus to a generation 150 years later (Isa. 45:1). Those who read their Bibles quickly discover that many prophecies did not impact the current audience in the slightest, but these predictions had ramifications for future generations. Even on the Preterist view, </w:t>
      </w:r>
      <w:r>
        <w:rPr>
          <w:i/>
        </w:rPr>
        <w:t>hundreds</w:t>
      </w:r>
      <w:r>
        <w:t xml:space="preserve"> of predictions in the OT didn’t refer to Israel, but to the future Church.</w:t>
      </w:r>
    </w:p>
    <w:p w14:paraId="67F6C90C" w14:textId="77777777" w:rsidR="00876F3B" w:rsidRPr="00EE7AC3" w:rsidRDefault="00876F3B" w:rsidP="00D41B6A">
      <w:pPr>
        <w:spacing w:line="240" w:lineRule="auto"/>
        <w:jc w:val="left"/>
      </w:pPr>
      <w:r>
        <w:t xml:space="preserve">Surely the people of </w:t>
      </w:r>
      <w:proofErr w:type="gramStart"/>
      <w:r>
        <w:t>John’s day</w:t>
      </w:r>
      <w:proofErr w:type="gramEnd"/>
      <w:r>
        <w:t xml:space="preserve"> didn’t understand everything in the book of Revelation, but why should we assume that they would? Even the prophets themselves didn’t always know the meaning of their own prophecies. Peter writes, “This salvation was something </w:t>
      </w:r>
      <w:r>
        <w:rPr>
          <w:i/>
        </w:rPr>
        <w:t>even the prophets wanted to know more about</w:t>
      </w:r>
      <w:r>
        <w:t xml:space="preserve"> when they prophesied about this gracious salvation prepared for you. </w:t>
      </w:r>
      <w:r>
        <w:rPr>
          <w:i/>
        </w:rPr>
        <w:t>They wondered what time or situation</w:t>
      </w:r>
      <w:r>
        <w:t xml:space="preserve"> the Spirit of Christ within them was talking about when he told them in advance about Christ’s suffering and his great glory afterward” (1 Pet. 1:10-11 NLT). Even the prophet Daniel explained that the content of his own prophecies brought him considerable confusion (Dan. 12:4, 9-10).</w:t>
      </w:r>
    </w:p>
    <w:p w14:paraId="018BD1B7" w14:textId="77777777" w:rsidR="00876F3B" w:rsidRPr="00EE7AC3" w:rsidRDefault="00876F3B" w:rsidP="00D41B6A">
      <w:pPr>
        <w:pStyle w:val="Heading4"/>
      </w:pPr>
      <w:bookmarkStart w:id="10" w:name="_Toc412370801"/>
      <w:r>
        <w:t>Conclusion</w:t>
      </w:r>
      <w:bookmarkEnd w:id="10"/>
    </w:p>
    <w:p w14:paraId="6BF912B9" w14:textId="0C217575" w:rsidR="00682915" w:rsidRDefault="00876F3B" w:rsidP="00D41B6A">
      <w:pPr>
        <w:spacing w:line="240" w:lineRule="auto"/>
        <w:jc w:val="left"/>
      </w:pPr>
      <w:r>
        <w:t xml:space="preserve">The Preterist interpretation of the book of Revelation fails on multiple fronts: (1) The book of Revelation is dated to AD 95—not AD 65; in order for Revelation to be a book of “prophecy” (Rev. 1:3), it cannot be describing </w:t>
      </w:r>
      <w:r>
        <w:rPr>
          <w:i/>
        </w:rPr>
        <w:t>past</w:t>
      </w:r>
      <w:r>
        <w:t xml:space="preserve"> events in AD 70; (2) the earliest Christian theologians did not hold the Preterist view—even though they were closer to the events of the destruction of the Temple; and (3) the passages used to support a near fulfillment do not carry weight when considered closely. Since these predictions in the book of Revelation haven’t been fulfilled, we should expect them to occur toward the end of human history.</w:t>
      </w:r>
    </w:p>
    <w:p w14:paraId="7AA3C6A4" w14:textId="77777777" w:rsidR="00682915" w:rsidRDefault="00682915">
      <w:r>
        <w:br w:type="page"/>
      </w:r>
    </w:p>
    <w:p w14:paraId="600A746D" w14:textId="77777777" w:rsidR="00876F3B" w:rsidRPr="00EE7AC3" w:rsidRDefault="00876F3B" w:rsidP="00D41B6A">
      <w:pPr>
        <w:spacing w:line="240" w:lineRule="auto"/>
        <w:jc w:val="left"/>
      </w:pPr>
    </w:p>
    <w:p w14:paraId="317F5E16" w14:textId="77777777" w:rsidR="00876F3B" w:rsidRPr="00EE7AC3" w:rsidRDefault="00876F3B" w:rsidP="009136D0">
      <w:pPr>
        <w:pStyle w:val="Heading1"/>
      </w:pPr>
      <w:bookmarkStart w:id="11" w:name="_Toc412370803"/>
      <w:bookmarkStart w:id="12" w:name="_Toc438580528"/>
      <w:bookmarkStart w:id="13" w:name="_Toc440728048"/>
      <w:bookmarkStart w:id="14" w:name="_Toc441011475"/>
      <w:bookmarkStart w:id="15" w:name="_Toc441015251"/>
      <w:bookmarkStart w:id="16" w:name="_Toc441263710"/>
      <w:r>
        <w:t>Chapter 8. Was Jesus a Preterist</w:t>
      </w:r>
      <w:bookmarkEnd w:id="11"/>
      <w:r>
        <w:t>?</w:t>
      </w:r>
      <w:bookmarkEnd w:id="12"/>
      <w:bookmarkEnd w:id="13"/>
      <w:bookmarkEnd w:id="14"/>
      <w:bookmarkEnd w:id="15"/>
      <w:bookmarkEnd w:id="16"/>
    </w:p>
    <w:p w14:paraId="7E492FE1" w14:textId="77777777" w:rsidR="00876F3B" w:rsidRPr="00EE7AC3" w:rsidRDefault="00876F3B" w:rsidP="009136D0">
      <w:pPr>
        <w:spacing w:line="240" w:lineRule="auto"/>
        <w:jc w:val="left"/>
      </w:pPr>
      <w:r>
        <w:t>Jesus seems to have made several predictions about his Second Coming that needed to be fulfilled in the first century:</w:t>
      </w:r>
    </w:p>
    <w:p w14:paraId="58BECC4A" w14:textId="77777777" w:rsidR="00876F3B" w:rsidRPr="00EE7AC3" w:rsidRDefault="00876F3B" w:rsidP="009136D0">
      <w:pPr>
        <w:spacing w:line="240" w:lineRule="auto"/>
        <w:ind w:left="720"/>
        <w:jc w:val="left"/>
      </w:pPr>
      <w:r>
        <w:t xml:space="preserve">You will not finish going through the cities of Israel </w:t>
      </w:r>
      <w:r>
        <w:rPr>
          <w:i/>
        </w:rPr>
        <w:t>until the Son of Man comes</w:t>
      </w:r>
      <w:r>
        <w:t>. (Mt. 10:23)</w:t>
      </w:r>
    </w:p>
    <w:p w14:paraId="2AB00EF9" w14:textId="77777777" w:rsidR="00876F3B" w:rsidRPr="00EE7AC3" w:rsidRDefault="00876F3B" w:rsidP="009136D0">
      <w:pPr>
        <w:spacing w:line="240" w:lineRule="auto"/>
        <w:ind w:left="720"/>
        <w:jc w:val="left"/>
      </w:pPr>
      <w:r>
        <w:t xml:space="preserve">There are some of those who are standing here who will not taste death </w:t>
      </w:r>
      <w:r>
        <w:rPr>
          <w:i/>
        </w:rPr>
        <w:t>until they see the Son of Man coming in His kingdom</w:t>
      </w:r>
      <w:r>
        <w:t>. (Mt. 16:28)</w:t>
      </w:r>
    </w:p>
    <w:p w14:paraId="3F3B2300" w14:textId="77777777" w:rsidR="00876F3B" w:rsidRPr="00EE7AC3" w:rsidRDefault="00876F3B" w:rsidP="009136D0">
      <w:pPr>
        <w:spacing w:line="240" w:lineRule="auto"/>
        <w:ind w:left="720"/>
        <w:jc w:val="left"/>
      </w:pPr>
      <w:r>
        <w:t xml:space="preserve">This generation will not pass away </w:t>
      </w:r>
      <w:r>
        <w:rPr>
          <w:i/>
        </w:rPr>
        <w:t>until all these things take place</w:t>
      </w:r>
      <w:r>
        <w:t>. (Mt. 24:34)</w:t>
      </w:r>
    </w:p>
    <w:p w14:paraId="5ABA87D9" w14:textId="77777777" w:rsidR="00876F3B" w:rsidRPr="00EE7AC3" w:rsidRDefault="00876F3B" w:rsidP="009136D0">
      <w:pPr>
        <w:spacing w:line="240" w:lineRule="auto"/>
        <w:jc w:val="left"/>
      </w:pPr>
      <w:r>
        <w:t>These predictions stumble skeptics. Jesus seems to be claiming that he would return during the lifetime of his disciples, but because he never returned, skeptics assume that Jesus made false predictions.</w:t>
      </w:r>
      <w:r>
        <w:rPr>
          <w:vertAlign w:val="superscript"/>
        </w:rPr>
        <w:footnoteReference w:id="53"/>
      </w:r>
      <w:r>
        <w:t xml:space="preserve"> Regarding Matthew 24:34, even C.S. Lewis wrote, “He was wrong. He clearly knew no more about the end of the world than anyone else. It is certainly the most embarrassing verse in the Bible.”</w:t>
      </w:r>
      <w:r>
        <w:rPr>
          <w:rStyle w:val="FootnoteReference"/>
        </w:rPr>
        <w:footnoteReference w:id="54"/>
      </w:r>
    </w:p>
    <w:p w14:paraId="40FA694C" w14:textId="77777777" w:rsidR="00876F3B" w:rsidRPr="00EE7AC3" w:rsidRDefault="00876F3B" w:rsidP="009136D0">
      <w:pPr>
        <w:spacing w:line="240" w:lineRule="auto"/>
        <w:jc w:val="left"/>
      </w:pPr>
      <w:r>
        <w:t xml:space="preserve">Preterism offers an intriguing answer to these difficulties: If Jesus believed that he would symbolically return to judge Jerusalem in AD 70, then </w:t>
      </w:r>
      <w:proofErr w:type="gramStart"/>
      <w:r>
        <w:t>all of</w:t>
      </w:r>
      <w:proofErr w:type="gramEnd"/>
      <w:r>
        <w:t xml:space="preserve"> these predictions were fulfilled. </w:t>
      </w:r>
      <w:proofErr w:type="gramStart"/>
      <w:r>
        <w:t>Thus</w:t>
      </w:r>
      <w:proofErr w:type="gramEnd"/>
      <w:r>
        <w:t xml:space="preserve"> Preterists argue that their view helps us in appealing to critics of Christianity.</w:t>
      </w:r>
      <w:r>
        <w:rPr>
          <w:bCs/>
          <w:vertAlign w:val="superscript"/>
        </w:rPr>
        <w:footnoteReference w:id="55"/>
      </w:r>
      <w:r>
        <w:t xml:space="preserve"> Is this the case?</w:t>
      </w:r>
    </w:p>
    <w:p w14:paraId="61A65DCD" w14:textId="77777777" w:rsidR="00876F3B" w:rsidRPr="00EE7AC3" w:rsidRDefault="00876F3B" w:rsidP="00D41B6A">
      <w:pPr>
        <w:pStyle w:val="Heading4"/>
      </w:pPr>
      <w:bookmarkStart w:id="17" w:name="_Toc412370804"/>
      <w:r>
        <w:t>The Olivet Discourse</w:t>
      </w:r>
      <w:bookmarkEnd w:id="17"/>
    </w:p>
    <w:p w14:paraId="46696F78" w14:textId="77777777" w:rsidR="00876F3B" w:rsidRPr="00EE7AC3" w:rsidRDefault="00876F3B" w:rsidP="00D41B6A">
      <w:pPr>
        <w:spacing w:line="240" w:lineRule="auto"/>
        <w:jc w:val="left"/>
        <w:rPr>
          <w:bCs/>
        </w:rPr>
      </w:pPr>
      <w:r>
        <w:t xml:space="preserve">After fiercely rebuking the hypocritical religious authorities (Mt. 23), Jesus predicted that God would destroy the Temple. As he left the Temple, he gave a private teaching to his disciples </w:t>
      </w:r>
      <w:r>
        <w:rPr>
          <w:bCs/>
        </w:rPr>
        <w:t xml:space="preserve">on the Mount of Olives, which is why theologians call this the “Olivet Discourse.” Preterists believe that Jesus fulfilled most of these predictions in AD 70, when he judged Jerusalem and the Temple via the armies of Rome. Matthew, Mark, and Luke all record Jesus’ Olivet Discourse, while John does not. Some interpreters believe that John omitted it, because he would later write his </w:t>
      </w:r>
      <w:r>
        <w:rPr>
          <w:bCs/>
          <w:i/>
        </w:rPr>
        <w:t>magnum opus</w:t>
      </w:r>
      <w:r>
        <w:rPr>
          <w:bCs/>
        </w:rPr>
        <w:t>—the book of Revelation.</w:t>
      </w:r>
    </w:p>
    <w:p w14:paraId="55E61AF2" w14:textId="77777777" w:rsidR="00876F3B" w:rsidRPr="00EE7AC3" w:rsidRDefault="00876F3B" w:rsidP="00D41B6A">
      <w:pPr>
        <w:spacing w:line="240" w:lineRule="auto"/>
        <w:jc w:val="left"/>
        <w:rPr>
          <w:bCs/>
        </w:rPr>
      </w:pPr>
      <w:r>
        <w:rPr>
          <w:bCs/>
        </w:rPr>
        <w:t xml:space="preserve">Futurists believe that most of the Olivet Discourse relates to the end of history—not to the fall of Jerusalem in AD 70. At the same time, they agree that the first half of Luke’s account refers to the destruction of Jerusalem in AD 70, but after Luke 21:25, Jesus directs his predictions to the distant future. While Luke’s account and Matthew’s account are certainly </w:t>
      </w:r>
      <w:r>
        <w:rPr>
          <w:bCs/>
          <w:i/>
        </w:rPr>
        <w:t>similar</w:t>
      </w:r>
      <w:r>
        <w:rPr>
          <w:bCs/>
        </w:rPr>
        <w:t xml:space="preserve"> to one another, they are not the </w:t>
      </w:r>
      <w:r>
        <w:rPr>
          <w:bCs/>
          <w:i/>
        </w:rPr>
        <w:t>same</w:t>
      </w:r>
      <w:r>
        <w:rPr>
          <w:bCs/>
        </w:rPr>
        <w:t>.</w:t>
      </w:r>
    </w:p>
    <w:p w14:paraId="77A49346" w14:textId="77777777" w:rsidR="00876F3B" w:rsidRPr="00EE7AC3" w:rsidRDefault="00876F3B" w:rsidP="00D41B6A">
      <w:pPr>
        <w:spacing w:line="240" w:lineRule="auto"/>
        <w:jc w:val="left"/>
        <w:rPr>
          <w:bCs/>
        </w:rPr>
      </w:pPr>
    </w:p>
    <w:tbl>
      <w:tblPr>
        <w:tblW w:w="82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4140"/>
      </w:tblGrid>
      <w:tr w:rsidR="00876F3B" w:rsidRPr="00895FAE" w14:paraId="09175959" w14:textId="77777777" w:rsidTr="00895FAE">
        <w:tc>
          <w:tcPr>
            <w:tcW w:w="8257" w:type="dxa"/>
            <w:gridSpan w:val="2"/>
          </w:tcPr>
          <w:p w14:paraId="7FB2CAB4" w14:textId="77777777" w:rsidR="00876F3B" w:rsidRPr="00895FAE" w:rsidRDefault="00876F3B" w:rsidP="00895FAE">
            <w:pPr>
              <w:spacing w:after="0" w:line="240" w:lineRule="auto"/>
              <w:jc w:val="center"/>
              <w:rPr>
                <w:b/>
                <w:bCs/>
                <w:sz w:val="32"/>
              </w:rPr>
            </w:pPr>
            <w:r w:rsidRPr="00895FAE">
              <w:rPr>
                <w:b/>
                <w:bCs/>
                <w:sz w:val="32"/>
              </w:rPr>
              <w:t>Comparing and Contrasting Matthew and Luke’s account</w:t>
            </w:r>
          </w:p>
        </w:tc>
      </w:tr>
      <w:tr w:rsidR="00876F3B" w:rsidRPr="00895FAE" w14:paraId="6CCDC960" w14:textId="77777777" w:rsidTr="00895FAE">
        <w:tc>
          <w:tcPr>
            <w:tcW w:w="4117" w:type="dxa"/>
          </w:tcPr>
          <w:p w14:paraId="5FCB6BD8" w14:textId="77777777" w:rsidR="00876F3B" w:rsidRPr="00895FAE" w:rsidRDefault="00876F3B" w:rsidP="00895FAE">
            <w:pPr>
              <w:spacing w:after="0" w:line="240" w:lineRule="auto"/>
              <w:jc w:val="center"/>
              <w:rPr>
                <w:b/>
                <w:bCs/>
                <w:sz w:val="28"/>
                <w:szCs w:val="22"/>
              </w:rPr>
            </w:pPr>
            <w:r w:rsidRPr="00895FAE">
              <w:rPr>
                <w:b/>
                <w:bCs/>
                <w:sz w:val="28"/>
                <w:szCs w:val="22"/>
              </w:rPr>
              <w:t>Luke 21</w:t>
            </w:r>
          </w:p>
        </w:tc>
        <w:tc>
          <w:tcPr>
            <w:tcW w:w="4140" w:type="dxa"/>
          </w:tcPr>
          <w:p w14:paraId="19F5265F" w14:textId="77777777" w:rsidR="00876F3B" w:rsidRPr="00895FAE" w:rsidRDefault="00876F3B" w:rsidP="00895FAE">
            <w:pPr>
              <w:spacing w:after="0" w:line="240" w:lineRule="auto"/>
              <w:jc w:val="center"/>
              <w:rPr>
                <w:b/>
                <w:bCs/>
                <w:sz w:val="28"/>
                <w:szCs w:val="22"/>
              </w:rPr>
            </w:pPr>
            <w:r w:rsidRPr="00895FAE">
              <w:rPr>
                <w:b/>
                <w:bCs/>
                <w:sz w:val="28"/>
                <w:szCs w:val="22"/>
              </w:rPr>
              <w:t>Matthew 24</w:t>
            </w:r>
          </w:p>
        </w:tc>
      </w:tr>
      <w:tr w:rsidR="00876F3B" w:rsidRPr="00EE7AC3" w14:paraId="1B7BF81B" w14:textId="77777777" w:rsidTr="00895FAE">
        <w:tc>
          <w:tcPr>
            <w:tcW w:w="4117" w:type="dxa"/>
          </w:tcPr>
          <w:p w14:paraId="2DB350ED" w14:textId="77777777" w:rsidR="00876F3B" w:rsidRPr="00EE7AC3" w:rsidRDefault="00876F3B" w:rsidP="00895FAE">
            <w:pPr>
              <w:spacing w:after="0" w:line="240" w:lineRule="auto"/>
              <w:jc w:val="center"/>
              <w:rPr>
                <w:bCs/>
                <w:szCs w:val="20"/>
              </w:rPr>
            </w:pPr>
            <w:r>
              <w:rPr>
                <w:bCs/>
                <w:szCs w:val="20"/>
              </w:rPr>
              <w:t>Many are misled (v.8)</w:t>
            </w:r>
          </w:p>
        </w:tc>
        <w:tc>
          <w:tcPr>
            <w:tcW w:w="4140" w:type="dxa"/>
          </w:tcPr>
          <w:p w14:paraId="5334610C" w14:textId="77777777" w:rsidR="00876F3B" w:rsidRPr="00EE7AC3" w:rsidRDefault="00876F3B" w:rsidP="00895FAE">
            <w:pPr>
              <w:spacing w:after="0" w:line="240" w:lineRule="auto"/>
              <w:jc w:val="center"/>
              <w:rPr>
                <w:bCs/>
                <w:szCs w:val="20"/>
              </w:rPr>
            </w:pPr>
            <w:r>
              <w:rPr>
                <w:bCs/>
                <w:szCs w:val="20"/>
              </w:rPr>
              <w:t>Many are misled (v.4) by false Christs (v.5)</w:t>
            </w:r>
          </w:p>
        </w:tc>
      </w:tr>
      <w:tr w:rsidR="00876F3B" w:rsidRPr="00EE7AC3" w14:paraId="684CEC2A" w14:textId="77777777" w:rsidTr="00895FAE">
        <w:tc>
          <w:tcPr>
            <w:tcW w:w="4117" w:type="dxa"/>
          </w:tcPr>
          <w:p w14:paraId="7DE9E91D" w14:textId="77777777" w:rsidR="00876F3B" w:rsidRPr="00EE7AC3" w:rsidRDefault="00876F3B" w:rsidP="00895FAE">
            <w:pPr>
              <w:spacing w:after="0" w:line="240" w:lineRule="auto"/>
              <w:jc w:val="center"/>
              <w:rPr>
                <w:bCs/>
                <w:szCs w:val="20"/>
              </w:rPr>
            </w:pPr>
            <w:r>
              <w:rPr>
                <w:bCs/>
                <w:szCs w:val="20"/>
              </w:rPr>
              <w:t>Rumors of wars (v.9)</w:t>
            </w:r>
          </w:p>
        </w:tc>
        <w:tc>
          <w:tcPr>
            <w:tcW w:w="4140" w:type="dxa"/>
          </w:tcPr>
          <w:p w14:paraId="11A0FE6A" w14:textId="77777777" w:rsidR="00876F3B" w:rsidRPr="00EE7AC3" w:rsidRDefault="00876F3B" w:rsidP="00895FAE">
            <w:pPr>
              <w:spacing w:after="0" w:line="240" w:lineRule="auto"/>
              <w:jc w:val="center"/>
              <w:rPr>
                <w:bCs/>
                <w:szCs w:val="20"/>
              </w:rPr>
            </w:pPr>
            <w:r>
              <w:rPr>
                <w:bCs/>
                <w:szCs w:val="20"/>
              </w:rPr>
              <w:t>Rumors of wars are “not yet the end” (v.6)</w:t>
            </w:r>
          </w:p>
        </w:tc>
      </w:tr>
      <w:tr w:rsidR="00876F3B" w:rsidRPr="00EE7AC3" w14:paraId="54A21352" w14:textId="77777777" w:rsidTr="00895FAE">
        <w:tc>
          <w:tcPr>
            <w:tcW w:w="4117" w:type="dxa"/>
          </w:tcPr>
          <w:p w14:paraId="6A0D0848" w14:textId="77777777" w:rsidR="00876F3B" w:rsidRPr="00EE7AC3" w:rsidRDefault="00876F3B" w:rsidP="00895FAE">
            <w:pPr>
              <w:spacing w:after="0" w:line="240" w:lineRule="auto"/>
              <w:jc w:val="center"/>
              <w:rPr>
                <w:bCs/>
                <w:szCs w:val="20"/>
              </w:rPr>
            </w:pPr>
            <w:r>
              <w:rPr>
                <w:bCs/>
                <w:szCs w:val="20"/>
              </w:rPr>
              <w:t>Wars (v.10)</w:t>
            </w:r>
          </w:p>
        </w:tc>
        <w:tc>
          <w:tcPr>
            <w:tcW w:w="4140" w:type="dxa"/>
          </w:tcPr>
          <w:p w14:paraId="1103AA1F" w14:textId="77777777" w:rsidR="00876F3B" w:rsidRPr="00EE7AC3" w:rsidRDefault="00876F3B" w:rsidP="00895FAE">
            <w:pPr>
              <w:spacing w:after="0" w:line="240" w:lineRule="auto"/>
              <w:jc w:val="center"/>
              <w:rPr>
                <w:bCs/>
                <w:szCs w:val="20"/>
              </w:rPr>
            </w:pPr>
            <w:r>
              <w:rPr>
                <w:bCs/>
                <w:szCs w:val="20"/>
              </w:rPr>
              <w:t>Wars (v.7)</w:t>
            </w:r>
          </w:p>
        </w:tc>
      </w:tr>
      <w:tr w:rsidR="00876F3B" w:rsidRPr="00EE7AC3" w14:paraId="417F6538" w14:textId="77777777" w:rsidTr="00895FAE">
        <w:tc>
          <w:tcPr>
            <w:tcW w:w="4117" w:type="dxa"/>
          </w:tcPr>
          <w:p w14:paraId="68CC0322" w14:textId="77777777" w:rsidR="00876F3B" w:rsidRPr="00EE7AC3" w:rsidRDefault="00876F3B" w:rsidP="00895FAE">
            <w:pPr>
              <w:spacing w:after="0" w:line="240" w:lineRule="auto"/>
              <w:jc w:val="center"/>
              <w:rPr>
                <w:bCs/>
                <w:szCs w:val="20"/>
              </w:rPr>
            </w:pPr>
            <w:r>
              <w:rPr>
                <w:bCs/>
                <w:szCs w:val="20"/>
              </w:rPr>
              <w:t>Plagues, famines, great signs from heaven (v.11)</w:t>
            </w:r>
            <w:r>
              <w:rPr>
                <w:rStyle w:val="FootnoteReference"/>
                <w:bCs/>
                <w:szCs w:val="20"/>
              </w:rPr>
              <w:footnoteReference w:id="56"/>
            </w:r>
          </w:p>
        </w:tc>
        <w:tc>
          <w:tcPr>
            <w:tcW w:w="4140" w:type="dxa"/>
          </w:tcPr>
          <w:p w14:paraId="75A12117" w14:textId="77777777" w:rsidR="00876F3B" w:rsidRPr="00EE7AC3" w:rsidRDefault="00876F3B" w:rsidP="00895FAE">
            <w:pPr>
              <w:spacing w:after="0" w:line="240" w:lineRule="auto"/>
              <w:jc w:val="center"/>
              <w:rPr>
                <w:bCs/>
                <w:szCs w:val="20"/>
              </w:rPr>
            </w:pPr>
            <w:r>
              <w:rPr>
                <w:bCs/>
                <w:szCs w:val="20"/>
              </w:rPr>
              <w:t>Famines and earthquakes (v.7) called “birth pangs” (v.8)</w:t>
            </w:r>
          </w:p>
        </w:tc>
      </w:tr>
      <w:tr w:rsidR="00876F3B" w:rsidRPr="00EE7AC3" w14:paraId="7AD24F4C" w14:textId="77777777" w:rsidTr="00895FAE">
        <w:tc>
          <w:tcPr>
            <w:tcW w:w="4117" w:type="dxa"/>
          </w:tcPr>
          <w:p w14:paraId="4F5AE48B" w14:textId="77777777" w:rsidR="00876F3B" w:rsidRPr="00EE7AC3" w:rsidRDefault="00876F3B" w:rsidP="00895FAE">
            <w:pPr>
              <w:spacing w:after="0" w:line="240" w:lineRule="auto"/>
              <w:jc w:val="center"/>
              <w:rPr>
                <w:bCs/>
                <w:szCs w:val="20"/>
              </w:rPr>
            </w:pPr>
            <w:r>
              <w:rPr>
                <w:bCs/>
                <w:szCs w:val="20"/>
              </w:rPr>
              <w:t>Persecution in the synagogues (vv.12-16)</w:t>
            </w:r>
          </w:p>
        </w:tc>
        <w:tc>
          <w:tcPr>
            <w:tcW w:w="4140" w:type="dxa"/>
          </w:tcPr>
          <w:p w14:paraId="6CFE821C" w14:textId="77777777" w:rsidR="00876F3B" w:rsidRPr="00EE7AC3" w:rsidRDefault="00876F3B" w:rsidP="00895FAE">
            <w:pPr>
              <w:spacing w:after="0" w:line="240" w:lineRule="auto"/>
              <w:jc w:val="center"/>
              <w:rPr>
                <w:bCs/>
                <w:szCs w:val="20"/>
              </w:rPr>
            </w:pPr>
            <w:r>
              <w:rPr>
                <w:bCs/>
                <w:szCs w:val="20"/>
              </w:rPr>
              <w:t>Persecution (v.9) and apostasy (v.10)</w:t>
            </w:r>
          </w:p>
        </w:tc>
      </w:tr>
      <w:tr w:rsidR="00876F3B" w:rsidRPr="00EE7AC3" w14:paraId="62B414A3" w14:textId="77777777" w:rsidTr="00895FAE">
        <w:tc>
          <w:tcPr>
            <w:tcW w:w="4117" w:type="dxa"/>
          </w:tcPr>
          <w:p w14:paraId="713922CC" w14:textId="77777777" w:rsidR="00876F3B" w:rsidRPr="00EE7AC3" w:rsidRDefault="00876F3B" w:rsidP="00895FAE">
            <w:pPr>
              <w:spacing w:after="0" w:line="240" w:lineRule="auto"/>
              <w:jc w:val="center"/>
              <w:rPr>
                <w:bCs/>
                <w:szCs w:val="20"/>
              </w:rPr>
            </w:pPr>
            <w:r>
              <w:rPr>
                <w:szCs w:val="20"/>
              </w:rPr>
              <w:t>————————</w:t>
            </w:r>
          </w:p>
        </w:tc>
        <w:tc>
          <w:tcPr>
            <w:tcW w:w="4140" w:type="dxa"/>
          </w:tcPr>
          <w:p w14:paraId="37F8E69E" w14:textId="77777777" w:rsidR="00876F3B" w:rsidRPr="00EE7AC3" w:rsidRDefault="00876F3B" w:rsidP="00895FAE">
            <w:pPr>
              <w:spacing w:after="0" w:line="240" w:lineRule="auto"/>
              <w:jc w:val="center"/>
              <w:rPr>
                <w:bCs/>
                <w:szCs w:val="20"/>
              </w:rPr>
            </w:pPr>
            <w:r>
              <w:rPr>
                <w:bCs/>
                <w:szCs w:val="20"/>
              </w:rPr>
              <w:t>More false prophets (v.11)</w:t>
            </w:r>
          </w:p>
        </w:tc>
      </w:tr>
      <w:tr w:rsidR="00876F3B" w:rsidRPr="00EE7AC3" w14:paraId="372DCC2C" w14:textId="77777777" w:rsidTr="00895FAE">
        <w:tc>
          <w:tcPr>
            <w:tcW w:w="4117" w:type="dxa"/>
          </w:tcPr>
          <w:p w14:paraId="318897DE" w14:textId="77777777" w:rsidR="00876F3B" w:rsidRPr="00EE7AC3" w:rsidRDefault="00876F3B" w:rsidP="00895FAE">
            <w:pPr>
              <w:spacing w:after="0" w:line="240" w:lineRule="auto"/>
              <w:jc w:val="center"/>
              <w:rPr>
                <w:bCs/>
                <w:szCs w:val="20"/>
              </w:rPr>
            </w:pPr>
            <w:r>
              <w:rPr>
                <w:szCs w:val="20"/>
              </w:rPr>
              <w:t>————————</w:t>
            </w:r>
          </w:p>
        </w:tc>
        <w:tc>
          <w:tcPr>
            <w:tcW w:w="4140" w:type="dxa"/>
          </w:tcPr>
          <w:p w14:paraId="6036F3A4" w14:textId="77777777" w:rsidR="00876F3B" w:rsidRPr="00EE7AC3" w:rsidRDefault="00876F3B" w:rsidP="00895FAE">
            <w:pPr>
              <w:spacing w:after="0" w:line="240" w:lineRule="auto"/>
              <w:jc w:val="center"/>
              <w:rPr>
                <w:bCs/>
                <w:szCs w:val="20"/>
              </w:rPr>
            </w:pPr>
            <w:r>
              <w:rPr>
                <w:bCs/>
                <w:szCs w:val="20"/>
              </w:rPr>
              <w:t>Love will grow cold (v.12)</w:t>
            </w:r>
          </w:p>
        </w:tc>
      </w:tr>
      <w:tr w:rsidR="00876F3B" w:rsidRPr="00EE7AC3" w14:paraId="6CB5AA1D" w14:textId="77777777" w:rsidTr="00895FAE">
        <w:tc>
          <w:tcPr>
            <w:tcW w:w="4117" w:type="dxa"/>
          </w:tcPr>
          <w:p w14:paraId="72FE758B" w14:textId="77777777" w:rsidR="00876F3B" w:rsidRPr="00EE7AC3" w:rsidRDefault="00876F3B" w:rsidP="00895FAE">
            <w:pPr>
              <w:spacing w:after="0" w:line="240" w:lineRule="auto"/>
              <w:jc w:val="center"/>
              <w:rPr>
                <w:bCs/>
                <w:szCs w:val="20"/>
              </w:rPr>
            </w:pPr>
            <w:r>
              <w:rPr>
                <w:bCs/>
                <w:szCs w:val="20"/>
              </w:rPr>
              <w:t>Divine protection for committed believers (vv.17-18)</w:t>
            </w:r>
          </w:p>
        </w:tc>
        <w:tc>
          <w:tcPr>
            <w:tcW w:w="4140" w:type="dxa"/>
          </w:tcPr>
          <w:p w14:paraId="26F0533A" w14:textId="77777777" w:rsidR="00876F3B" w:rsidRPr="00EE7AC3" w:rsidRDefault="00876F3B" w:rsidP="00895FAE">
            <w:pPr>
              <w:spacing w:after="0" w:line="240" w:lineRule="auto"/>
              <w:jc w:val="center"/>
              <w:rPr>
                <w:bCs/>
                <w:szCs w:val="20"/>
              </w:rPr>
            </w:pPr>
            <w:r>
              <w:rPr>
                <w:bCs/>
                <w:szCs w:val="20"/>
              </w:rPr>
              <w:t>Divine protection for committed believers (v.13)</w:t>
            </w:r>
          </w:p>
        </w:tc>
      </w:tr>
      <w:tr w:rsidR="00876F3B" w:rsidRPr="00EE7AC3" w14:paraId="20C7E7CF" w14:textId="77777777" w:rsidTr="00895FAE">
        <w:tc>
          <w:tcPr>
            <w:tcW w:w="4117" w:type="dxa"/>
          </w:tcPr>
          <w:p w14:paraId="104C16C5" w14:textId="77777777" w:rsidR="00876F3B" w:rsidRPr="00EE7AC3" w:rsidRDefault="00876F3B" w:rsidP="00895FAE">
            <w:pPr>
              <w:spacing w:after="0" w:line="240" w:lineRule="auto"/>
              <w:jc w:val="center"/>
              <w:rPr>
                <w:bCs/>
                <w:szCs w:val="20"/>
              </w:rPr>
            </w:pPr>
            <w:r>
              <w:rPr>
                <w:bCs/>
                <w:szCs w:val="20"/>
              </w:rPr>
              <w:t>Destruction of Jerusalem and the Temple (vv.20-24)</w:t>
            </w:r>
          </w:p>
        </w:tc>
        <w:tc>
          <w:tcPr>
            <w:tcW w:w="4140" w:type="dxa"/>
          </w:tcPr>
          <w:p w14:paraId="52123D56" w14:textId="77777777" w:rsidR="00876F3B" w:rsidRPr="00EE7AC3" w:rsidRDefault="00876F3B" w:rsidP="00895FAE">
            <w:pPr>
              <w:spacing w:after="0" w:line="240" w:lineRule="auto"/>
              <w:jc w:val="center"/>
              <w:rPr>
                <w:bCs/>
                <w:szCs w:val="20"/>
              </w:rPr>
            </w:pPr>
            <w:r>
              <w:rPr>
                <w:szCs w:val="20"/>
              </w:rPr>
              <w:t>————————</w:t>
            </w:r>
          </w:p>
        </w:tc>
      </w:tr>
      <w:tr w:rsidR="00876F3B" w:rsidRPr="00EE7AC3" w14:paraId="10FF56AD" w14:textId="77777777" w:rsidTr="00895FAE">
        <w:tc>
          <w:tcPr>
            <w:tcW w:w="4117" w:type="dxa"/>
          </w:tcPr>
          <w:p w14:paraId="3014A254" w14:textId="77777777" w:rsidR="00876F3B" w:rsidRPr="00EE7AC3" w:rsidRDefault="00876F3B" w:rsidP="00895FAE">
            <w:pPr>
              <w:spacing w:after="0" w:line="240" w:lineRule="auto"/>
              <w:jc w:val="center"/>
              <w:rPr>
                <w:bCs/>
                <w:szCs w:val="20"/>
              </w:rPr>
            </w:pPr>
            <w:r>
              <w:rPr>
                <w:szCs w:val="20"/>
              </w:rPr>
              <w:t>————————</w:t>
            </w:r>
          </w:p>
        </w:tc>
        <w:tc>
          <w:tcPr>
            <w:tcW w:w="4140" w:type="dxa"/>
          </w:tcPr>
          <w:p w14:paraId="22A437D9" w14:textId="77777777" w:rsidR="00876F3B" w:rsidRPr="00EE7AC3" w:rsidRDefault="00876F3B" w:rsidP="00895FAE">
            <w:pPr>
              <w:spacing w:after="0" w:line="240" w:lineRule="auto"/>
              <w:jc w:val="center"/>
              <w:rPr>
                <w:bCs/>
                <w:szCs w:val="20"/>
              </w:rPr>
            </w:pPr>
            <w:r>
              <w:rPr>
                <w:bCs/>
                <w:szCs w:val="20"/>
              </w:rPr>
              <w:t>All nations hear the gospel “and then the end will come” (v.14)</w:t>
            </w:r>
          </w:p>
        </w:tc>
      </w:tr>
      <w:tr w:rsidR="00876F3B" w:rsidRPr="00EE7AC3" w14:paraId="1E0FD3DA" w14:textId="77777777" w:rsidTr="00895FAE">
        <w:tc>
          <w:tcPr>
            <w:tcW w:w="4117" w:type="dxa"/>
          </w:tcPr>
          <w:p w14:paraId="2EACF255" w14:textId="77777777" w:rsidR="00876F3B" w:rsidRPr="00EE7AC3" w:rsidRDefault="00876F3B" w:rsidP="00895FAE">
            <w:pPr>
              <w:spacing w:after="0" w:line="240" w:lineRule="auto"/>
              <w:jc w:val="center"/>
              <w:rPr>
                <w:bCs/>
                <w:szCs w:val="20"/>
              </w:rPr>
            </w:pPr>
            <w:r>
              <w:rPr>
                <w:szCs w:val="20"/>
              </w:rPr>
              <w:t>————————</w:t>
            </w:r>
          </w:p>
        </w:tc>
        <w:tc>
          <w:tcPr>
            <w:tcW w:w="4140" w:type="dxa"/>
          </w:tcPr>
          <w:p w14:paraId="3BD9654B" w14:textId="77777777" w:rsidR="00876F3B" w:rsidRPr="00EE7AC3" w:rsidRDefault="00876F3B" w:rsidP="00895FAE">
            <w:pPr>
              <w:spacing w:after="0" w:line="240" w:lineRule="auto"/>
              <w:jc w:val="center"/>
              <w:rPr>
                <w:bCs/>
                <w:szCs w:val="20"/>
              </w:rPr>
            </w:pPr>
            <w:r>
              <w:rPr>
                <w:bCs/>
                <w:szCs w:val="20"/>
              </w:rPr>
              <w:t>Destruction of the Temple in Jerusalem (v.15)</w:t>
            </w:r>
          </w:p>
        </w:tc>
      </w:tr>
      <w:tr w:rsidR="00876F3B" w:rsidRPr="00EE7AC3" w14:paraId="38BC83DD" w14:textId="77777777" w:rsidTr="00895FAE">
        <w:tc>
          <w:tcPr>
            <w:tcW w:w="4117" w:type="dxa"/>
          </w:tcPr>
          <w:p w14:paraId="603F115C" w14:textId="77777777" w:rsidR="00876F3B" w:rsidRPr="00EE7AC3" w:rsidRDefault="00876F3B" w:rsidP="00895FAE">
            <w:pPr>
              <w:spacing w:after="0" w:line="240" w:lineRule="auto"/>
              <w:jc w:val="center"/>
              <w:rPr>
                <w:bCs/>
                <w:szCs w:val="20"/>
              </w:rPr>
            </w:pPr>
            <w:r>
              <w:rPr>
                <w:bCs/>
                <w:szCs w:val="20"/>
              </w:rPr>
              <w:t xml:space="preserve">Command to flee Jerusalem when </w:t>
            </w:r>
            <w:r>
              <w:rPr>
                <w:bCs/>
                <w:i/>
                <w:szCs w:val="20"/>
              </w:rPr>
              <w:t>Judea is surrounded</w:t>
            </w:r>
            <w:r>
              <w:rPr>
                <w:bCs/>
                <w:szCs w:val="20"/>
              </w:rPr>
              <w:t xml:space="preserve"> (v.20)</w:t>
            </w:r>
          </w:p>
        </w:tc>
        <w:tc>
          <w:tcPr>
            <w:tcW w:w="4140" w:type="dxa"/>
          </w:tcPr>
          <w:p w14:paraId="6E89D4FB" w14:textId="77777777" w:rsidR="00876F3B" w:rsidRPr="00EE7AC3" w:rsidRDefault="00876F3B" w:rsidP="00895FAE">
            <w:pPr>
              <w:spacing w:after="0" w:line="240" w:lineRule="auto"/>
              <w:jc w:val="center"/>
              <w:rPr>
                <w:bCs/>
                <w:szCs w:val="20"/>
              </w:rPr>
            </w:pPr>
            <w:r>
              <w:rPr>
                <w:bCs/>
                <w:szCs w:val="20"/>
              </w:rPr>
              <w:t xml:space="preserve">Command to flee Judea after seeing the </w:t>
            </w:r>
            <w:r>
              <w:rPr>
                <w:bCs/>
                <w:i/>
                <w:szCs w:val="20"/>
              </w:rPr>
              <w:t>Abomination of Desolation</w:t>
            </w:r>
            <w:r>
              <w:rPr>
                <w:bCs/>
                <w:szCs w:val="20"/>
              </w:rPr>
              <w:t xml:space="preserve"> (vv.16-20)</w:t>
            </w:r>
          </w:p>
        </w:tc>
      </w:tr>
      <w:tr w:rsidR="00876F3B" w:rsidRPr="00EE7AC3" w14:paraId="535DB489" w14:textId="77777777" w:rsidTr="00895FAE">
        <w:tc>
          <w:tcPr>
            <w:tcW w:w="4117" w:type="dxa"/>
          </w:tcPr>
          <w:p w14:paraId="331B97AB" w14:textId="77777777" w:rsidR="00876F3B" w:rsidRPr="00EE7AC3" w:rsidRDefault="00876F3B" w:rsidP="00895FAE">
            <w:pPr>
              <w:spacing w:after="0" w:line="240" w:lineRule="auto"/>
              <w:jc w:val="center"/>
              <w:rPr>
                <w:bCs/>
                <w:szCs w:val="20"/>
              </w:rPr>
            </w:pPr>
            <w:r>
              <w:rPr>
                <w:szCs w:val="20"/>
              </w:rPr>
              <w:t>————————</w:t>
            </w:r>
          </w:p>
        </w:tc>
        <w:tc>
          <w:tcPr>
            <w:tcW w:w="4140" w:type="dxa"/>
          </w:tcPr>
          <w:p w14:paraId="4496418E" w14:textId="77777777" w:rsidR="00876F3B" w:rsidRPr="00EE7AC3" w:rsidRDefault="00876F3B" w:rsidP="00895FAE">
            <w:pPr>
              <w:spacing w:after="0" w:line="240" w:lineRule="auto"/>
              <w:jc w:val="center"/>
              <w:rPr>
                <w:bCs/>
                <w:szCs w:val="20"/>
              </w:rPr>
            </w:pPr>
            <w:r>
              <w:rPr>
                <w:bCs/>
                <w:szCs w:val="20"/>
              </w:rPr>
              <w:t xml:space="preserve">“A </w:t>
            </w:r>
            <w:r>
              <w:rPr>
                <w:bCs/>
                <w:i/>
                <w:szCs w:val="20"/>
              </w:rPr>
              <w:t>great</w:t>
            </w:r>
            <w:r>
              <w:rPr>
                <w:bCs/>
                <w:szCs w:val="20"/>
              </w:rPr>
              <w:t xml:space="preserve"> tribulation such as has not occurred since the beginning of the world until now, nor ever will” (v.21)</w:t>
            </w:r>
          </w:p>
        </w:tc>
      </w:tr>
      <w:tr w:rsidR="00876F3B" w:rsidRPr="00EE7AC3" w14:paraId="1044C0F8" w14:textId="77777777" w:rsidTr="00895FAE">
        <w:tc>
          <w:tcPr>
            <w:tcW w:w="4117" w:type="dxa"/>
          </w:tcPr>
          <w:p w14:paraId="4CE3BE57" w14:textId="77777777" w:rsidR="00876F3B" w:rsidRPr="00EE7AC3" w:rsidRDefault="00876F3B" w:rsidP="00895FAE">
            <w:pPr>
              <w:spacing w:after="0" w:line="240" w:lineRule="auto"/>
              <w:jc w:val="center"/>
              <w:rPr>
                <w:bCs/>
                <w:szCs w:val="20"/>
              </w:rPr>
            </w:pPr>
            <w:r>
              <w:rPr>
                <w:szCs w:val="20"/>
              </w:rPr>
              <w:t>————————</w:t>
            </w:r>
          </w:p>
        </w:tc>
        <w:tc>
          <w:tcPr>
            <w:tcW w:w="4140" w:type="dxa"/>
          </w:tcPr>
          <w:p w14:paraId="5809EFE3" w14:textId="77777777" w:rsidR="00876F3B" w:rsidRPr="00EE7AC3" w:rsidRDefault="00876F3B" w:rsidP="00895FAE">
            <w:pPr>
              <w:spacing w:after="0" w:line="240" w:lineRule="auto"/>
              <w:jc w:val="center"/>
              <w:rPr>
                <w:bCs/>
                <w:szCs w:val="20"/>
              </w:rPr>
            </w:pPr>
            <w:r>
              <w:rPr>
                <w:bCs/>
                <w:szCs w:val="20"/>
              </w:rPr>
              <w:t>“Unless those days had been cut short, no life would have been saved; but for the sake of the elect those days will be cut short” (v.22)</w:t>
            </w:r>
          </w:p>
        </w:tc>
      </w:tr>
      <w:tr w:rsidR="00876F3B" w:rsidRPr="00EE7AC3" w14:paraId="4EA11C80" w14:textId="77777777" w:rsidTr="00895FAE">
        <w:tc>
          <w:tcPr>
            <w:tcW w:w="4117" w:type="dxa"/>
          </w:tcPr>
          <w:p w14:paraId="38AB93FB" w14:textId="77777777" w:rsidR="00876F3B" w:rsidRPr="00EE7AC3" w:rsidRDefault="00876F3B" w:rsidP="00895FAE">
            <w:pPr>
              <w:spacing w:after="0" w:line="240" w:lineRule="auto"/>
              <w:jc w:val="center"/>
              <w:rPr>
                <w:bCs/>
                <w:szCs w:val="20"/>
              </w:rPr>
            </w:pPr>
            <w:r>
              <w:rPr>
                <w:szCs w:val="20"/>
              </w:rPr>
              <w:t>————————</w:t>
            </w:r>
          </w:p>
        </w:tc>
        <w:tc>
          <w:tcPr>
            <w:tcW w:w="4140" w:type="dxa"/>
          </w:tcPr>
          <w:p w14:paraId="2958CC44" w14:textId="77777777" w:rsidR="00876F3B" w:rsidRPr="00EE7AC3" w:rsidRDefault="00876F3B" w:rsidP="00895FAE">
            <w:pPr>
              <w:spacing w:after="0" w:line="240" w:lineRule="auto"/>
              <w:jc w:val="center"/>
              <w:rPr>
                <w:bCs/>
                <w:szCs w:val="20"/>
              </w:rPr>
            </w:pPr>
            <w:r>
              <w:rPr>
                <w:bCs/>
                <w:szCs w:val="20"/>
              </w:rPr>
              <w:t>More false teaching predicting the Second Coming (vv.23-26)</w:t>
            </w:r>
          </w:p>
        </w:tc>
      </w:tr>
      <w:tr w:rsidR="00876F3B" w:rsidRPr="00EE7AC3" w14:paraId="540E9925" w14:textId="77777777" w:rsidTr="00895FAE">
        <w:tc>
          <w:tcPr>
            <w:tcW w:w="4117" w:type="dxa"/>
          </w:tcPr>
          <w:p w14:paraId="15CF4580" w14:textId="77777777" w:rsidR="00876F3B" w:rsidRPr="00EE7AC3" w:rsidRDefault="00876F3B" w:rsidP="00895FAE">
            <w:pPr>
              <w:spacing w:after="0" w:line="240" w:lineRule="auto"/>
              <w:jc w:val="center"/>
              <w:rPr>
                <w:bCs/>
                <w:szCs w:val="20"/>
              </w:rPr>
            </w:pPr>
            <w:r>
              <w:rPr>
                <w:bCs/>
                <w:szCs w:val="20"/>
              </w:rPr>
              <w:t>Second Coming of Christ with signs in heaven (vv.25-27)</w:t>
            </w:r>
          </w:p>
        </w:tc>
        <w:tc>
          <w:tcPr>
            <w:tcW w:w="4140" w:type="dxa"/>
          </w:tcPr>
          <w:p w14:paraId="4BAA01A9" w14:textId="77777777" w:rsidR="00876F3B" w:rsidRPr="00EE7AC3" w:rsidRDefault="00876F3B" w:rsidP="00895FAE">
            <w:pPr>
              <w:spacing w:after="0" w:line="240" w:lineRule="auto"/>
              <w:jc w:val="center"/>
              <w:rPr>
                <w:bCs/>
                <w:szCs w:val="20"/>
              </w:rPr>
            </w:pPr>
            <w:r>
              <w:rPr>
                <w:bCs/>
                <w:szCs w:val="20"/>
              </w:rPr>
              <w:t>Second Coming of Christ with signs in heaven (vv.27-31)</w:t>
            </w:r>
          </w:p>
        </w:tc>
      </w:tr>
      <w:tr w:rsidR="00876F3B" w:rsidRPr="00EE7AC3" w14:paraId="263B2720" w14:textId="77777777" w:rsidTr="00895FAE">
        <w:tc>
          <w:tcPr>
            <w:tcW w:w="4117" w:type="dxa"/>
          </w:tcPr>
          <w:p w14:paraId="4F15F7BB" w14:textId="77777777" w:rsidR="00876F3B" w:rsidRPr="00EE7AC3" w:rsidRDefault="00876F3B" w:rsidP="00895FAE">
            <w:pPr>
              <w:spacing w:after="0" w:line="240" w:lineRule="auto"/>
              <w:jc w:val="center"/>
              <w:rPr>
                <w:bCs/>
                <w:szCs w:val="20"/>
              </w:rPr>
            </w:pPr>
            <w:r>
              <w:rPr>
                <w:bCs/>
                <w:szCs w:val="20"/>
              </w:rPr>
              <w:t>Fig tree illustration (vv.29-31)</w:t>
            </w:r>
          </w:p>
        </w:tc>
        <w:tc>
          <w:tcPr>
            <w:tcW w:w="4140" w:type="dxa"/>
          </w:tcPr>
          <w:p w14:paraId="18CDB23A" w14:textId="77777777" w:rsidR="00876F3B" w:rsidRPr="00EE7AC3" w:rsidRDefault="00876F3B" w:rsidP="00895FAE">
            <w:pPr>
              <w:spacing w:after="0" w:line="240" w:lineRule="auto"/>
              <w:jc w:val="center"/>
              <w:rPr>
                <w:bCs/>
                <w:szCs w:val="20"/>
              </w:rPr>
            </w:pPr>
            <w:r>
              <w:rPr>
                <w:bCs/>
                <w:szCs w:val="20"/>
              </w:rPr>
              <w:t>Fig tree illustration (vv.32-33)</w:t>
            </w:r>
          </w:p>
        </w:tc>
      </w:tr>
      <w:tr w:rsidR="00876F3B" w:rsidRPr="00EE7AC3" w14:paraId="7FDCA6D7" w14:textId="77777777" w:rsidTr="00895FAE">
        <w:tc>
          <w:tcPr>
            <w:tcW w:w="4117" w:type="dxa"/>
          </w:tcPr>
          <w:p w14:paraId="4658B81D" w14:textId="77777777" w:rsidR="00876F3B" w:rsidRPr="00EE7AC3" w:rsidRDefault="00876F3B" w:rsidP="00895FAE">
            <w:pPr>
              <w:spacing w:after="0" w:line="240" w:lineRule="auto"/>
              <w:jc w:val="center"/>
              <w:rPr>
                <w:bCs/>
                <w:szCs w:val="20"/>
              </w:rPr>
            </w:pPr>
            <w:r>
              <w:rPr>
                <w:bCs/>
                <w:szCs w:val="20"/>
              </w:rPr>
              <w:t>“Truly I say to you, this generation will not pass away until all things take place” (v.32)</w:t>
            </w:r>
          </w:p>
        </w:tc>
        <w:tc>
          <w:tcPr>
            <w:tcW w:w="4140" w:type="dxa"/>
          </w:tcPr>
          <w:p w14:paraId="549C00EF" w14:textId="77777777" w:rsidR="00876F3B" w:rsidRPr="00EE7AC3" w:rsidRDefault="00876F3B" w:rsidP="00895FAE">
            <w:pPr>
              <w:spacing w:after="0" w:line="240" w:lineRule="auto"/>
              <w:jc w:val="center"/>
              <w:rPr>
                <w:bCs/>
                <w:szCs w:val="20"/>
              </w:rPr>
            </w:pPr>
            <w:r>
              <w:rPr>
                <w:bCs/>
                <w:szCs w:val="20"/>
              </w:rPr>
              <w:t>“Truly I say to you, this generation will not pass away until all these things take place” (v.34)</w:t>
            </w:r>
          </w:p>
        </w:tc>
      </w:tr>
      <w:tr w:rsidR="00876F3B" w:rsidRPr="00EE7AC3" w14:paraId="34BE4673" w14:textId="77777777" w:rsidTr="00895FAE">
        <w:tc>
          <w:tcPr>
            <w:tcW w:w="4117" w:type="dxa"/>
          </w:tcPr>
          <w:p w14:paraId="4EF97406" w14:textId="77777777" w:rsidR="00876F3B" w:rsidRPr="00EE7AC3" w:rsidRDefault="00876F3B" w:rsidP="00895FAE">
            <w:pPr>
              <w:spacing w:after="0" w:line="240" w:lineRule="auto"/>
              <w:jc w:val="center"/>
              <w:rPr>
                <w:bCs/>
                <w:szCs w:val="20"/>
              </w:rPr>
            </w:pPr>
            <w:r>
              <w:rPr>
                <w:bCs/>
                <w:szCs w:val="20"/>
              </w:rPr>
              <w:t>“Heaven and earth will pass away, but My words will not pass away” (v.33)</w:t>
            </w:r>
          </w:p>
        </w:tc>
        <w:tc>
          <w:tcPr>
            <w:tcW w:w="4140" w:type="dxa"/>
          </w:tcPr>
          <w:p w14:paraId="52E4F600" w14:textId="77777777" w:rsidR="00876F3B" w:rsidRPr="00EE7AC3" w:rsidRDefault="00876F3B" w:rsidP="00895FAE">
            <w:pPr>
              <w:spacing w:after="0" w:line="240" w:lineRule="auto"/>
              <w:jc w:val="center"/>
              <w:rPr>
                <w:bCs/>
                <w:szCs w:val="20"/>
              </w:rPr>
            </w:pPr>
            <w:r>
              <w:rPr>
                <w:bCs/>
                <w:szCs w:val="20"/>
              </w:rPr>
              <w:t>“Heaven and earth will pass away, but My words will not pass away” (v.35)</w:t>
            </w:r>
          </w:p>
        </w:tc>
      </w:tr>
    </w:tbl>
    <w:p w14:paraId="1BD24ED5" w14:textId="77777777" w:rsidR="00895FAE" w:rsidRDefault="00895FAE" w:rsidP="00D41B6A">
      <w:pPr>
        <w:spacing w:line="240" w:lineRule="auto"/>
        <w:jc w:val="left"/>
      </w:pPr>
    </w:p>
    <w:p w14:paraId="02A18B90" w14:textId="03A63F2D" w:rsidR="00876F3B" w:rsidRPr="00EE7AC3" w:rsidRDefault="00876F3B" w:rsidP="00D41B6A">
      <w:pPr>
        <w:spacing w:line="240" w:lineRule="auto"/>
        <w:jc w:val="left"/>
      </w:pPr>
      <w:r>
        <w:lastRenderedPageBreak/>
        <w:t>In their accounts of the Olivet Discourse, Luke emphasizes the destruction of the Temple in AD 70, but Matthew emphasizes the destruction of the Temple at the end of human history. Luke fails to mention three key components to Jesus’ sermon: (1) no human would’ve survived these days unless God cut them short, (2) this was the greatest tribulation the world had ever seen or will see, and (3) the abomination of desolation would occur—only mentioning “its desolation.”</w:t>
      </w:r>
    </w:p>
    <w:p w14:paraId="0A73C85E" w14:textId="77777777" w:rsidR="00876F3B" w:rsidRPr="00EE7AC3" w:rsidRDefault="00876F3B" w:rsidP="00D41B6A">
      <w:pPr>
        <w:spacing w:line="240" w:lineRule="auto"/>
        <w:jc w:val="left"/>
      </w:pPr>
      <w:r>
        <w:t>These are significant omissions on Luke’s behalf. Darrell Bock comments, “</w:t>
      </w:r>
      <w:r>
        <w:rPr>
          <w:bCs/>
        </w:rPr>
        <w:t>What do these differences mean? They indicate that Luke emphasizes a different element in Jesus’ teaching at this point. He focuses on the nearer fulfillment in the judgment pattern described here, the fall of Jerusalem in AD 70, rather than the end (which he will introduce directly in 21:25).”</w:t>
      </w:r>
      <w:r>
        <w:rPr>
          <w:vertAlign w:val="superscript"/>
        </w:rPr>
        <w:footnoteReference w:id="57"/>
      </w:r>
    </w:p>
    <w:p w14:paraId="16DA6258" w14:textId="77777777" w:rsidR="00876F3B" w:rsidRPr="00EE7AC3" w:rsidRDefault="00876F3B" w:rsidP="00D41B6A">
      <w:pPr>
        <w:spacing w:line="240" w:lineRule="auto"/>
        <w:jc w:val="left"/>
      </w:pPr>
      <w:r>
        <w:rPr>
          <w:bCs/>
        </w:rPr>
        <w:t xml:space="preserve">The destruction of the Temple in AD 70 serves as a type (or foreshadowing) for the future destruction at Jesus’ Second Coming. Since the Temple of AD 70 was destroyed in a literal way, the future Temple at the end of history will also be destroyed in the same way. </w:t>
      </w:r>
      <w:r>
        <w:t>Bock explains, “What happens to Jerusalem as AD 70 approaches will be like the real end, which brings the return. In these descriptions Jesus answers the disciples’ short-term question about the temple, but he also sets up a long-term discussion about the end. The two events mirror each other in their terror.”</w:t>
      </w:r>
      <w:r>
        <w:rPr>
          <w:vertAlign w:val="superscript"/>
        </w:rPr>
        <w:footnoteReference w:id="58"/>
      </w:r>
      <w:r>
        <w:t xml:space="preserve"> Similarly, predictions about Jerusalem’s </w:t>
      </w:r>
      <w:r>
        <w:rPr>
          <w:i/>
        </w:rPr>
        <w:t>first</w:t>
      </w:r>
      <w:r>
        <w:t xml:space="preserve"> destruction by the Babylonians (6</w:t>
      </w:r>
      <w:r>
        <w:rPr>
          <w:vertAlign w:val="superscript"/>
        </w:rPr>
        <w:t>th</w:t>
      </w:r>
      <w:r>
        <w:t xml:space="preserve"> century BC) are </w:t>
      </w:r>
      <w:proofErr w:type="gramStart"/>
      <w:r>
        <w:t>similar to</w:t>
      </w:r>
      <w:proofErr w:type="gramEnd"/>
      <w:r>
        <w:t xml:space="preserve"> her </w:t>
      </w:r>
      <w:r>
        <w:rPr>
          <w:i/>
        </w:rPr>
        <w:t>second</w:t>
      </w:r>
      <w:r>
        <w:t xml:space="preserve"> destruction by the Romans (1</w:t>
      </w:r>
      <w:r>
        <w:rPr>
          <w:vertAlign w:val="superscript"/>
        </w:rPr>
        <w:t>st</w:t>
      </w:r>
      <w:r>
        <w:t xml:space="preserve"> century AD). But these are not the same events. Instead, the fulfillment of the one </w:t>
      </w:r>
      <w:proofErr w:type="gramStart"/>
      <w:r>
        <w:t>offers</w:t>
      </w:r>
      <w:proofErr w:type="gramEnd"/>
      <w:r>
        <w:t xml:space="preserve"> confidence that the second will be fulfilled later in history.</w:t>
      </w:r>
    </w:p>
    <w:p w14:paraId="52FB8A2C" w14:textId="77777777" w:rsidR="00876F3B" w:rsidRPr="00EE7AC3" w:rsidRDefault="00876F3B" w:rsidP="00D41B6A">
      <w:pPr>
        <w:spacing w:line="240" w:lineRule="auto"/>
        <w:jc w:val="left"/>
      </w:pPr>
      <w:r>
        <w:rPr>
          <w:bCs/>
        </w:rPr>
        <w:t>Futurists see a gap somewhere in both accounts, but they aren’t the only ones. Even some Preterists like Kenneth Gentry see a gap in Matthew 24 between verses 34 and 36</w:t>
      </w:r>
      <w:r>
        <w:t>. In fact, Gentry believes that verse 36 refers to Jesus’ Second Coming at the end of human history.</w:t>
      </w:r>
      <w:r>
        <w:rPr>
          <w:vertAlign w:val="superscript"/>
        </w:rPr>
        <w:footnoteReference w:id="59"/>
      </w:r>
      <w:r>
        <w:t xml:space="preserve"> Thus for most interpreters, the question isn’t </w:t>
      </w:r>
      <w:r>
        <w:rPr>
          <w:i/>
        </w:rPr>
        <w:t>whether</w:t>
      </w:r>
      <w:r>
        <w:t xml:space="preserve"> a gap exists in Jesus’ teaching, but </w:t>
      </w:r>
      <w:r>
        <w:rPr>
          <w:i/>
        </w:rPr>
        <w:t>where</w:t>
      </w:r>
      <w:r>
        <w:t xml:space="preserve"> it occurs.</w:t>
      </w:r>
    </w:p>
    <w:p w14:paraId="16F09E21" w14:textId="77777777" w:rsidR="00876F3B" w:rsidRPr="00EE7AC3" w:rsidRDefault="00876F3B" w:rsidP="00D41B6A">
      <w:pPr>
        <w:pStyle w:val="Heading4"/>
      </w:pPr>
      <w:bookmarkStart w:id="18" w:name="_Toc412370805"/>
      <w:r>
        <w:t>Critique of the Preterist view of the Olivet Discourse</w:t>
      </w:r>
      <w:bookmarkEnd w:id="18"/>
    </w:p>
    <w:p w14:paraId="27EF1595" w14:textId="77777777" w:rsidR="00876F3B" w:rsidRPr="00EE7AC3" w:rsidRDefault="00876F3B" w:rsidP="00D41B6A">
      <w:pPr>
        <w:spacing w:line="240" w:lineRule="auto"/>
        <w:jc w:val="left"/>
      </w:pPr>
      <w:r>
        <w:t>As we read through the Olivet Discourse from a Preterist interpretation, we discover many major interpretive problems and inconsistencies:</w:t>
      </w:r>
    </w:p>
    <w:p w14:paraId="1A1BB472" w14:textId="77777777" w:rsidR="00876F3B" w:rsidRPr="00EE7AC3" w:rsidRDefault="00876F3B" w:rsidP="00D41B6A">
      <w:pPr>
        <w:pStyle w:val="Heading4"/>
      </w:pPr>
      <w:r>
        <w:t>Matthew 23:38-39</w:t>
      </w:r>
    </w:p>
    <w:p w14:paraId="33E63F8C" w14:textId="77777777" w:rsidR="00876F3B" w:rsidRPr="00EE7AC3" w:rsidRDefault="00876F3B" w:rsidP="00D41B6A">
      <w:pPr>
        <w:spacing w:line="240" w:lineRule="auto"/>
        <w:ind w:left="720"/>
        <w:jc w:val="left"/>
      </w:pPr>
      <w:r>
        <w:t xml:space="preserve">Behold, your house [the Temple] is being left to you desolate! </w:t>
      </w:r>
      <w:r>
        <w:rPr>
          <w:vertAlign w:val="superscript"/>
        </w:rPr>
        <w:t>39</w:t>
      </w:r>
      <w:r>
        <w:t xml:space="preserve"> For I say to you, from now on you will not see Me until you say, ‘Blessed is He who comes in the name of the Lord!’ (Mt. 23:38-39)</w:t>
      </w:r>
    </w:p>
    <w:p w14:paraId="2320B84D" w14:textId="77777777" w:rsidR="00876F3B" w:rsidRPr="00EE7AC3" w:rsidRDefault="00876F3B" w:rsidP="00D41B6A">
      <w:pPr>
        <w:spacing w:line="240" w:lineRule="auto"/>
        <w:jc w:val="left"/>
      </w:pPr>
      <w:r>
        <w:t xml:space="preserve">On a Preterist view, when did the unbelieving Jewish nation ever bless the return of Christ? This prediction makes little or no sense </w:t>
      </w:r>
      <w:proofErr w:type="gramStart"/>
      <w:r>
        <w:t>for</w:t>
      </w:r>
      <w:proofErr w:type="gramEnd"/>
      <w:r>
        <w:t xml:space="preserve"> </w:t>
      </w:r>
      <w:proofErr w:type="gramStart"/>
      <w:r>
        <w:t>Preterism, but</w:t>
      </w:r>
      <w:proofErr w:type="gramEnd"/>
      <w:r>
        <w:t xml:space="preserve"> fits nicely within the Futurist view. Theologian Stanley </w:t>
      </w:r>
      <w:r>
        <w:rPr>
          <w:bCs/>
        </w:rPr>
        <w:t xml:space="preserve">Toussaint writes, “Jews would hardly call the horrible decimation of life in the destruction of their capital city a blessed coming of the Messiah. Rather, verse 39 </w:t>
      </w:r>
      <w:r>
        <w:rPr>
          <w:bCs/>
        </w:rPr>
        <w:lastRenderedPageBreak/>
        <w:t>describes Israel’s future repentance when they will mourn because of their great sin (Zech. 12:10).”</w:t>
      </w:r>
      <w:r>
        <w:rPr>
          <w:rStyle w:val="FootnoteReference"/>
          <w:bCs/>
        </w:rPr>
        <w:footnoteReference w:id="60"/>
      </w:r>
      <w:r>
        <w:rPr>
          <w:bCs/>
        </w:rPr>
        <w:t xml:space="preserve"> </w:t>
      </w:r>
      <w:r>
        <w:t>On a Futurist view, this event will occur toward the end of human history (Zech. 12; Rom. 11:25-29).</w:t>
      </w:r>
    </w:p>
    <w:p w14:paraId="394B1EAA" w14:textId="77777777" w:rsidR="00876F3B" w:rsidRPr="00EE7AC3" w:rsidRDefault="00876F3B" w:rsidP="00D41B6A">
      <w:pPr>
        <w:spacing w:line="240" w:lineRule="auto"/>
        <w:jc w:val="left"/>
        <w:rPr>
          <w:bCs/>
        </w:rPr>
      </w:pPr>
      <w:r>
        <w:rPr>
          <w:bCs/>
        </w:rPr>
        <w:t>Interestingly, Gentry has nothing to say about Matthew 23:39. In his commentary on Revelation he skips this passage, jumping from Matthew 23:38 to 24:1.</w:t>
      </w:r>
      <w:r>
        <w:rPr>
          <w:vertAlign w:val="superscript"/>
        </w:rPr>
        <w:footnoteReference w:id="61"/>
      </w:r>
      <w:r>
        <w:rPr>
          <w:bCs/>
        </w:rPr>
        <w:t xml:space="preserve"> Other Preterists attempt to explain Jesus’ statement by arguing that the expression “until you say” is not a certainty in the future. Instead, this is an “indefinite possibility.” R.T. France writes, “There is no promise that the condition will be fulfilled.”</w:t>
      </w:r>
      <w:r>
        <w:rPr>
          <w:bCs/>
          <w:vertAlign w:val="superscript"/>
        </w:rPr>
        <w:footnoteReference w:id="62"/>
      </w:r>
      <w:r>
        <w:rPr>
          <w:bCs/>
        </w:rPr>
        <w:t xml:space="preserve"> To support this interpretation, Preterist Gary DeMar cites four passages that demonstrate how this Greek word may not refer to a certain fulfillment (Mt. 5:26; 18:30; 18:34; Acts 23:12).</w:t>
      </w:r>
      <w:r>
        <w:rPr>
          <w:bCs/>
          <w:vertAlign w:val="superscript"/>
        </w:rPr>
        <w:footnoteReference w:id="63"/>
      </w:r>
    </w:p>
    <w:p w14:paraId="11E43E8C" w14:textId="77777777" w:rsidR="00876F3B" w:rsidRPr="00EE7AC3" w:rsidRDefault="00876F3B" w:rsidP="00D41B6A">
      <w:pPr>
        <w:spacing w:line="240" w:lineRule="auto"/>
        <w:jc w:val="left"/>
        <w:rPr>
          <w:bCs/>
        </w:rPr>
      </w:pPr>
      <w:r>
        <w:rPr>
          <w:bCs/>
        </w:rPr>
        <w:t xml:space="preserve">While DeMar cites multiple passages to support his “indefinite possibility” reading, it’s more interesting to note the passages he does </w:t>
      </w:r>
      <w:r>
        <w:rPr>
          <w:bCs/>
          <w:i/>
        </w:rPr>
        <w:t>not</w:t>
      </w:r>
      <w:r>
        <w:rPr>
          <w:bCs/>
        </w:rPr>
        <w:t xml:space="preserve"> cite. Matthew uses the word “until” (</w:t>
      </w:r>
      <w:proofErr w:type="spellStart"/>
      <w:r>
        <w:rPr>
          <w:bCs/>
          <w:i/>
        </w:rPr>
        <w:t>heos</w:t>
      </w:r>
      <w:proofErr w:type="spellEnd"/>
      <w:r>
        <w:rPr>
          <w:bCs/>
        </w:rPr>
        <w:t>) in several other predictions in his gospel (cf. Mt. 5:18; 17:9; 26:29):</w:t>
      </w:r>
    </w:p>
    <w:p w14:paraId="7C402BB7" w14:textId="77777777" w:rsidR="00876F3B" w:rsidRPr="00EE7AC3" w:rsidRDefault="00876F3B" w:rsidP="00D41B6A">
      <w:pPr>
        <w:spacing w:line="240" w:lineRule="auto"/>
        <w:ind w:left="720"/>
        <w:jc w:val="left"/>
      </w:pPr>
      <w:r>
        <w:t xml:space="preserve">For truly I say to you, you will not finish going through the cities of Israel </w:t>
      </w:r>
      <w:r>
        <w:rPr>
          <w:i/>
        </w:rPr>
        <w:t>until the Son of Man comes</w:t>
      </w:r>
      <w:r>
        <w:t>. (Mt. 10:23)</w:t>
      </w:r>
    </w:p>
    <w:p w14:paraId="44DA07C9" w14:textId="77777777" w:rsidR="00876F3B" w:rsidRPr="00EE7AC3" w:rsidRDefault="00876F3B" w:rsidP="00D41B6A">
      <w:pPr>
        <w:spacing w:line="240" w:lineRule="auto"/>
        <w:ind w:left="720"/>
        <w:jc w:val="left"/>
      </w:pPr>
      <w:r>
        <w:t xml:space="preserve">Truly I say to you, there are some of those who are standing here who will not taste death </w:t>
      </w:r>
      <w:r>
        <w:rPr>
          <w:i/>
        </w:rPr>
        <w:t>until they see the Son of Man coming in His kingdom</w:t>
      </w:r>
      <w:r>
        <w:t>. (Mt. 16:28)</w:t>
      </w:r>
    </w:p>
    <w:p w14:paraId="7B69910B" w14:textId="77777777" w:rsidR="00876F3B" w:rsidRPr="00EE7AC3" w:rsidRDefault="00876F3B" w:rsidP="00D41B6A">
      <w:pPr>
        <w:spacing w:line="240" w:lineRule="auto"/>
        <w:ind w:left="720"/>
        <w:jc w:val="left"/>
      </w:pPr>
      <w:r>
        <w:t xml:space="preserve">Truly I say to you, this generation will not pass away </w:t>
      </w:r>
      <w:r>
        <w:rPr>
          <w:i/>
        </w:rPr>
        <w:t>until all these things take place</w:t>
      </w:r>
      <w:r>
        <w:t>. (Mt. 24:34)</w:t>
      </w:r>
    </w:p>
    <w:p w14:paraId="1BEE49D6" w14:textId="77777777" w:rsidR="00876F3B" w:rsidRPr="00EE7AC3" w:rsidRDefault="00876F3B" w:rsidP="00D41B6A">
      <w:pPr>
        <w:spacing w:line="240" w:lineRule="auto"/>
        <w:jc w:val="left"/>
        <w:rPr>
          <w:bCs/>
        </w:rPr>
      </w:pPr>
      <w:r>
        <w:rPr>
          <w:bCs/>
        </w:rPr>
        <w:t>Do these passages look familiar? Preterists stake their view particularly on these three passages above. They claim that the preaching of the disciples (10:23), the coming of Christ (16:28), and the events of the destruction of Jerusalem (24:34) all needed to be fulfilled in the first century, during the lives of the disciples. But if Matthew’s use of the word “until” only refers to an “indefinite possibility,” then this would nullify the three most crucial passages that support the Preterist position!</w:t>
      </w:r>
    </w:p>
    <w:p w14:paraId="1F934D84" w14:textId="77777777" w:rsidR="00876F3B" w:rsidRPr="00EE7AC3" w:rsidRDefault="00876F3B" w:rsidP="00D41B6A">
      <w:pPr>
        <w:spacing w:line="240" w:lineRule="auto"/>
        <w:jc w:val="left"/>
        <w:rPr>
          <w:bCs/>
        </w:rPr>
      </w:pPr>
      <w:r>
        <w:rPr>
          <w:bCs/>
        </w:rPr>
        <w:t xml:space="preserve">Moreover, Jesus claims that the Jewish people need to say, “Blessed is He who comes in the name of the Lord!” (Mt. 23:39). DeMar holds that this refers to Jewish converts before AD 70. </w:t>
      </w:r>
      <w:proofErr w:type="gramStart"/>
      <w:r>
        <w:rPr>
          <w:bCs/>
        </w:rPr>
        <w:t>Thus</w:t>
      </w:r>
      <w:proofErr w:type="gramEnd"/>
      <w:r>
        <w:rPr>
          <w:bCs/>
        </w:rPr>
        <w:t xml:space="preserve"> these believing Jewish people could “bless” Christ’s symbolic coming in AD 70, because this would mean that Jesus had fulfilled his promise to judge the hypocrisy of the Temple. But just three chapters earlier, we see what Jesus meant by having the crowds shouting such a praise. When Jesus came into the city of Jerusalem in Matthew 21:9, the crowds </w:t>
      </w:r>
      <w:r>
        <w:rPr>
          <w:bCs/>
          <w:i/>
        </w:rPr>
        <w:t>literally</w:t>
      </w:r>
      <w:r>
        <w:rPr>
          <w:bCs/>
        </w:rPr>
        <w:t xml:space="preserve"> sang Psalm 118:26 and Jesus </w:t>
      </w:r>
      <w:r>
        <w:rPr>
          <w:bCs/>
          <w:i/>
        </w:rPr>
        <w:t>literally</w:t>
      </w:r>
      <w:r>
        <w:rPr>
          <w:bCs/>
        </w:rPr>
        <w:t xml:space="preserve"> and </w:t>
      </w:r>
      <w:r>
        <w:rPr>
          <w:bCs/>
          <w:i/>
        </w:rPr>
        <w:t>physically</w:t>
      </w:r>
      <w:r>
        <w:rPr>
          <w:bCs/>
        </w:rPr>
        <w:t xml:space="preserve"> entered the Temple—not </w:t>
      </w:r>
      <w:r>
        <w:rPr>
          <w:bCs/>
          <w:i/>
        </w:rPr>
        <w:t>figuratively</w:t>
      </w:r>
      <w:r>
        <w:rPr>
          <w:bCs/>
        </w:rPr>
        <w:t xml:space="preserve"> or </w:t>
      </w:r>
      <w:r>
        <w:rPr>
          <w:bCs/>
          <w:i/>
        </w:rPr>
        <w:t>symbolically</w:t>
      </w:r>
      <w:r>
        <w:rPr>
          <w:bCs/>
        </w:rPr>
        <w:t xml:space="preserve"> as Preterists contend.</w:t>
      </w:r>
    </w:p>
    <w:p w14:paraId="71119253" w14:textId="77777777" w:rsidR="00876F3B" w:rsidRPr="00EE7AC3" w:rsidRDefault="00876F3B" w:rsidP="00D41B6A">
      <w:pPr>
        <w:pStyle w:val="Heading4"/>
      </w:pPr>
      <w:r>
        <w:t>Matthew 24:1-3</w:t>
      </w:r>
    </w:p>
    <w:p w14:paraId="4A275E08" w14:textId="77777777" w:rsidR="00876F3B" w:rsidRPr="00EE7AC3" w:rsidRDefault="00876F3B" w:rsidP="00D41B6A">
      <w:pPr>
        <w:spacing w:line="240" w:lineRule="auto"/>
        <w:ind w:left="720"/>
        <w:jc w:val="left"/>
      </w:pPr>
      <w:r>
        <w:lastRenderedPageBreak/>
        <w:t xml:space="preserve">Jesus came out from the temple and was going away when His disciples came up to point out the temple buildings to Him. </w:t>
      </w:r>
      <w:r>
        <w:rPr>
          <w:vertAlign w:val="superscript"/>
        </w:rPr>
        <w:t>2</w:t>
      </w:r>
      <w:r>
        <w:t xml:space="preserve"> And He said to them, ‘Do you not see all these things? Truly I say to you, not one stone here will be left upon another, which will not be torn down.’ </w:t>
      </w:r>
      <w:r>
        <w:rPr>
          <w:vertAlign w:val="superscript"/>
        </w:rPr>
        <w:t>3</w:t>
      </w:r>
      <w:r>
        <w:t xml:space="preserve"> As He was sitting on the Mount of Olives, the disciples came to Him privately, saying, ‘Tell us, when will these things happen, and what will be the sign of Your coming, and of the end of the age?’ (Mt. 24:1-3)</w:t>
      </w:r>
    </w:p>
    <w:p w14:paraId="634F37B0" w14:textId="77777777" w:rsidR="00876F3B" w:rsidRPr="00EE7AC3" w:rsidRDefault="00876F3B" w:rsidP="00D41B6A">
      <w:pPr>
        <w:spacing w:line="240" w:lineRule="auto"/>
        <w:jc w:val="left"/>
        <w:rPr>
          <w:bCs/>
        </w:rPr>
      </w:pPr>
      <w:r>
        <w:rPr>
          <w:bCs/>
        </w:rPr>
        <w:t>As the disciples looked at the Temple, Jesus predicted “not one stone here will be left upon another, which will not be torn down” (v.2). Preterists and Futurists agree that this refers to the Temple in AD 70. Josephus recorded, “It was so thoroughly laid even with the ground by those that dug it up to the foundation, that there was left nothing to make those that came [near] believe it had ever been inhabited.”</w:t>
      </w:r>
      <w:r>
        <w:rPr>
          <w:rStyle w:val="FootnoteReference"/>
          <w:bCs/>
        </w:rPr>
        <w:footnoteReference w:id="64"/>
      </w:r>
      <w:r>
        <w:rPr>
          <w:bCs/>
        </w:rPr>
        <w:t xml:space="preserve"> </w:t>
      </w:r>
      <w:r>
        <w:t>Thus the destruction of the Temple in AD 70 fulfilled Jesus’ prediction with precision.</w:t>
      </w:r>
    </w:p>
    <w:p w14:paraId="71185285" w14:textId="77777777" w:rsidR="00876F3B" w:rsidRPr="00EE7AC3" w:rsidRDefault="00876F3B" w:rsidP="00D41B6A">
      <w:pPr>
        <w:spacing w:line="240" w:lineRule="auto"/>
        <w:jc w:val="left"/>
        <w:rPr>
          <w:bCs/>
        </w:rPr>
      </w:pPr>
      <w:r>
        <w:t xml:space="preserve">The Jerusalem Temple stood as a massive monument to Israel’s religious life. </w:t>
      </w:r>
      <w:r>
        <w:rPr>
          <w:bCs/>
        </w:rPr>
        <w:t>Josephus writes that the stones were 40 feet long, 18 feet deep, and 12 feet tall.</w:t>
      </w:r>
      <w:r>
        <w:rPr>
          <w:rStyle w:val="FootnoteReference"/>
          <w:bCs/>
        </w:rPr>
        <w:footnoteReference w:id="65"/>
      </w:r>
      <w:r>
        <w:rPr>
          <w:bCs/>
        </w:rPr>
        <w:t xml:space="preserve"> The Talmud records, “He who has not seen the Temple of Herod has not seen a beautiful thing.”</w:t>
      </w:r>
      <w:r>
        <w:rPr>
          <w:rStyle w:val="FootnoteReference"/>
          <w:bCs/>
        </w:rPr>
        <w:footnoteReference w:id="66"/>
      </w:r>
      <w:r>
        <w:rPr>
          <w:bCs/>
        </w:rPr>
        <w:t xml:space="preserve"> </w:t>
      </w:r>
      <w:r>
        <w:t>Thus when Jesus predicted its destruction, this probably caused the disciples to think that Jesus was referring to the end of the world. Imagine if someone predicted that the Pentagon and White House would be burned to the ground. You’d probably assume that the world was ending!</w:t>
      </w:r>
    </w:p>
    <w:p w14:paraId="4D22B49F" w14:textId="77777777" w:rsidR="00876F3B" w:rsidRPr="00EE7AC3" w:rsidRDefault="00876F3B" w:rsidP="00D41B6A">
      <w:pPr>
        <w:spacing w:line="240" w:lineRule="auto"/>
        <w:jc w:val="left"/>
        <w:rPr>
          <w:bCs/>
        </w:rPr>
      </w:pPr>
      <w:r>
        <w:rPr>
          <w:bCs/>
        </w:rPr>
        <w:t xml:space="preserve">But Preterists hold a different view: When Jesus referred to “the end of the age,” he wasn’t referring to the end of the </w:t>
      </w:r>
      <w:r>
        <w:rPr>
          <w:bCs/>
          <w:i/>
        </w:rPr>
        <w:t>world</w:t>
      </w:r>
      <w:r>
        <w:rPr>
          <w:bCs/>
        </w:rPr>
        <w:t xml:space="preserve">, but the end of the </w:t>
      </w:r>
      <w:r>
        <w:rPr>
          <w:bCs/>
          <w:i/>
        </w:rPr>
        <w:t>old covenant</w:t>
      </w:r>
      <w:r>
        <w:rPr>
          <w:bCs/>
        </w:rPr>
        <w:t xml:space="preserve">. These interpreters note that Paul used this expression (“the end of the age”) in the present tense: “[These things] were written for our instruction, upon whom </w:t>
      </w:r>
      <w:r>
        <w:rPr>
          <w:bCs/>
          <w:i/>
        </w:rPr>
        <w:t>the ends of the ages have come</w:t>
      </w:r>
      <w:r>
        <w:rPr>
          <w:bCs/>
        </w:rPr>
        <w:t>” (1 Cor. 10:11). Maybe Jesus’ prediction already came true in the destruction of the Temple?</w:t>
      </w:r>
    </w:p>
    <w:p w14:paraId="47781ECA" w14:textId="77777777" w:rsidR="00876F3B" w:rsidRPr="00EE7AC3" w:rsidRDefault="00876F3B" w:rsidP="00D41B6A">
      <w:pPr>
        <w:spacing w:line="240" w:lineRule="auto"/>
        <w:jc w:val="left"/>
        <w:rPr>
          <w:bCs/>
        </w:rPr>
      </w:pPr>
      <w:r>
        <w:rPr>
          <w:bCs/>
        </w:rPr>
        <w:t>While this interpretation might seem interesting, it doesn’t fit with Matthew’s use of the expression “the end of the age” (</w:t>
      </w:r>
      <w:proofErr w:type="spellStart"/>
      <w:r>
        <w:rPr>
          <w:bCs/>
          <w:i/>
        </w:rPr>
        <w:t>ounteleias</w:t>
      </w:r>
      <w:proofErr w:type="spellEnd"/>
      <w:r>
        <w:rPr>
          <w:bCs/>
        </w:rPr>
        <w:t>). At the end of his gospel, Matthew writes that Jesus will be with the Church “until the end of the age” (Mt. 28:20; cf. Mt. 13:38-40; Lk. 20:35). Under a consistent Preterist view, this would mean that Jesus is no longer with us in fulfilling the Great Commission! Instead, his promise expired in the first century, and now, we’re on our own.</w:t>
      </w:r>
    </w:p>
    <w:p w14:paraId="6641FBDB" w14:textId="77777777" w:rsidR="00876F3B" w:rsidRPr="00EE7AC3" w:rsidRDefault="00876F3B" w:rsidP="00D41B6A">
      <w:pPr>
        <w:pStyle w:val="Heading4"/>
      </w:pPr>
      <w:r>
        <w:t>Matthew 24:14</w:t>
      </w:r>
    </w:p>
    <w:p w14:paraId="0C67DD8C" w14:textId="77777777" w:rsidR="00876F3B" w:rsidRPr="00EE7AC3" w:rsidRDefault="00876F3B" w:rsidP="00D41B6A">
      <w:pPr>
        <w:spacing w:line="240" w:lineRule="auto"/>
        <w:ind w:left="720"/>
        <w:jc w:val="left"/>
      </w:pPr>
      <w:r>
        <w:t xml:space="preserve">This gospel of the kingdom shall be preached in the </w:t>
      </w:r>
      <w:r>
        <w:rPr>
          <w:i/>
        </w:rPr>
        <w:t>whole world</w:t>
      </w:r>
      <w:r>
        <w:t xml:space="preserve"> as a testimony to </w:t>
      </w:r>
      <w:r>
        <w:rPr>
          <w:i/>
        </w:rPr>
        <w:t>all the nations</w:t>
      </w:r>
      <w:r>
        <w:t>, and then the end will come. (Mt. 24:14)</w:t>
      </w:r>
    </w:p>
    <w:p w14:paraId="07AB074C" w14:textId="77777777" w:rsidR="00876F3B" w:rsidRPr="00EE7AC3" w:rsidRDefault="00876F3B" w:rsidP="00D41B6A">
      <w:pPr>
        <w:spacing w:line="240" w:lineRule="auto"/>
        <w:jc w:val="left"/>
        <w:rPr>
          <w:bCs/>
        </w:rPr>
      </w:pPr>
      <w:r>
        <w:t>Jesus claimed that the gospel would reach all nations before his return. Clearly, this still hasn’t happened—even in our day. Yet Preterists claim that Jesus was using hyperbolic language, referring to the spread of the gospel in the Roman Empire</w:t>
      </w:r>
      <w:r>
        <w:rPr>
          <w:bCs/>
        </w:rPr>
        <w:t>—not the entire globe.</w:t>
      </w:r>
    </w:p>
    <w:p w14:paraId="4743B45E" w14:textId="77777777" w:rsidR="00876F3B" w:rsidRPr="00EE7AC3" w:rsidRDefault="00876F3B" w:rsidP="00D41B6A">
      <w:pPr>
        <w:spacing w:line="240" w:lineRule="auto"/>
        <w:jc w:val="left"/>
        <w:rPr>
          <w:bCs/>
        </w:rPr>
      </w:pPr>
      <w:r>
        <w:rPr>
          <w:bCs/>
        </w:rPr>
        <w:t xml:space="preserve">While the NT authors did use the Greek term </w:t>
      </w:r>
      <w:proofErr w:type="spellStart"/>
      <w:r>
        <w:rPr>
          <w:bCs/>
          <w:i/>
        </w:rPr>
        <w:t>oikoumene</w:t>
      </w:r>
      <w:proofErr w:type="spellEnd"/>
      <w:r>
        <w:rPr>
          <w:bCs/>
        </w:rPr>
        <w:t xml:space="preserve"> (“whole world”) to refer to the </w:t>
      </w:r>
      <w:r>
        <w:rPr>
          <w:bCs/>
          <w:i/>
        </w:rPr>
        <w:t>known</w:t>
      </w:r>
      <w:r>
        <w:rPr>
          <w:bCs/>
        </w:rPr>
        <w:t xml:space="preserve"> world (Rom. 1:8; 10:18; 16:19; Col. 1:6, 23; Lk. 2:1), they also use it to describe the </w:t>
      </w:r>
      <w:r>
        <w:rPr>
          <w:bCs/>
        </w:rPr>
        <w:lastRenderedPageBreak/>
        <w:t xml:space="preserve">entire globe (Acts 17:31; Rom. 10:18; Rev. 12:9; Heb. 2:5). </w:t>
      </w:r>
      <w:proofErr w:type="gramStart"/>
      <w:r>
        <w:rPr>
          <w:bCs/>
        </w:rPr>
        <w:t>Thus</w:t>
      </w:r>
      <w:proofErr w:type="gramEnd"/>
      <w:r>
        <w:rPr>
          <w:bCs/>
        </w:rPr>
        <w:t xml:space="preserve"> the word can be understood either way. </w:t>
      </w:r>
      <w:proofErr w:type="gramStart"/>
      <w:r>
        <w:rPr>
          <w:bCs/>
        </w:rPr>
        <w:t>So</w:t>
      </w:r>
      <w:proofErr w:type="gramEnd"/>
      <w:r>
        <w:rPr>
          <w:bCs/>
        </w:rPr>
        <w:t xml:space="preserve"> was Jesus describing the </w:t>
      </w:r>
      <w:r>
        <w:rPr>
          <w:bCs/>
          <w:i/>
        </w:rPr>
        <w:t>whole</w:t>
      </w:r>
      <w:r>
        <w:rPr>
          <w:bCs/>
        </w:rPr>
        <w:t xml:space="preserve"> world or just the </w:t>
      </w:r>
      <w:r>
        <w:rPr>
          <w:bCs/>
          <w:i/>
        </w:rPr>
        <w:t>known</w:t>
      </w:r>
      <w:r>
        <w:rPr>
          <w:bCs/>
        </w:rPr>
        <w:t xml:space="preserve"> world?</w:t>
      </w:r>
    </w:p>
    <w:p w14:paraId="0B6B581D" w14:textId="77777777" w:rsidR="00876F3B" w:rsidRPr="00EE7AC3" w:rsidRDefault="00876F3B" w:rsidP="00D41B6A">
      <w:pPr>
        <w:spacing w:line="240" w:lineRule="auto"/>
        <w:jc w:val="left"/>
        <w:rPr>
          <w:bCs/>
        </w:rPr>
      </w:pPr>
      <w:r>
        <w:rPr>
          <w:bCs/>
        </w:rPr>
        <w:t>The context makes this clear. Jesus says that the gospel will reach “</w:t>
      </w:r>
      <w:r>
        <w:rPr>
          <w:bCs/>
          <w:i/>
        </w:rPr>
        <w:t>all</w:t>
      </w:r>
      <w:r>
        <w:rPr>
          <w:bCs/>
        </w:rPr>
        <w:t xml:space="preserve"> the nations” (</w:t>
      </w:r>
      <w:proofErr w:type="spellStart"/>
      <w:r>
        <w:rPr>
          <w:bCs/>
          <w:i/>
        </w:rPr>
        <w:t>ethnesin</w:t>
      </w:r>
      <w:proofErr w:type="spellEnd"/>
      <w:r>
        <w:rPr>
          <w:bCs/>
        </w:rPr>
        <w:t xml:space="preserve">), and later in Matthew 28:19, he says, “Go… make disciples </w:t>
      </w:r>
      <w:r>
        <w:rPr>
          <w:bCs/>
          <w:i/>
        </w:rPr>
        <w:t>of all the nations</w:t>
      </w:r>
      <w:r>
        <w:rPr>
          <w:bCs/>
        </w:rPr>
        <w:t>” (</w:t>
      </w:r>
      <w:proofErr w:type="spellStart"/>
      <w:r>
        <w:rPr>
          <w:bCs/>
          <w:i/>
        </w:rPr>
        <w:t>ethnesin</w:t>
      </w:r>
      <w:proofErr w:type="spellEnd"/>
      <w:r>
        <w:rPr>
          <w:bCs/>
        </w:rPr>
        <w:t>). Surely the Great Commission refers to the entire globe—</w:t>
      </w:r>
      <w:proofErr w:type="gramStart"/>
      <w:r>
        <w:rPr>
          <w:bCs/>
        </w:rPr>
        <w:t>not</w:t>
      </w:r>
      <w:proofErr w:type="gramEnd"/>
      <w:r>
        <w:rPr>
          <w:bCs/>
        </w:rPr>
        <w:t xml:space="preserve"> just the Roman Empire. Otherwise, we should fire the thousands of missionaries living in foreign countries today. Interestingly, DeMar neglects to connect Matthew’s use of the </w:t>
      </w:r>
      <w:proofErr w:type="spellStart"/>
      <w:r>
        <w:rPr>
          <w:bCs/>
          <w:i/>
        </w:rPr>
        <w:t>ethnesin</w:t>
      </w:r>
      <w:proofErr w:type="spellEnd"/>
      <w:r>
        <w:rPr>
          <w:bCs/>
        </w:rPr>
        <w:t xml:space="preserve"> (“all the nations”) with Matthew 28:19.</w:t>
      </w:r>
      <w:r>
        <w:rPr>
          <w:bCs/>
          <w:vertAlign w:val="superscript"/>
        </w:rPr>
        <w:footnoteReference w:id="67"/>
      </w:r>
    </w:p>
    <w:p w14:paraId="301FFB78" w14:textId="77777777" w:rsidR="00876F3B" w:rsidRPr="00EE7AC3" w:rsidRDefault="00876F3B" w:rsidP="00D41B6A">
      <w:pPr>
        <w:pStyle w:val="Heading4"/>
      </w:pPr>
      <w:r>
        <w:t>Matthew 24:15-16</w:t>
      </w:r>
    </w:p>
    <w:p w14:paraId="55FF0781" w14:textId="77777777" w:rsidR="00876F3B" w:rsidRPr="00EE7AC3" w:rsidRDefault="00876F3B" w:rsidP="00D41B6A">
      <w:pPr>
        <w:spacing w:line="240" w:lineRule="auto"/>
        <w:ind w:left="720"/>
        <w:jc w:val="left"/>
      </w:pPr>
      <w:r>
        <w:t xml:space="preserve">When you see the abomination of desolation which was spoken of through Daniel the prophet, standing in the holy place (let the reader understand), </w:t>
      </w:r>
      <w:r>
        <w:rPr>
          <w:vertAlign w:val="superscript"/>
        </w:rPr>
        <w:t>16</w:t>
      </w:r>
      <w:r>
        <w:t xml:space="preserve"> then those who are in Judea must flee to the mountains. (Mt. 24:15-16)</w:t>
      </w:r>
    </w:p>
    <w:p w14:paraId="33CFC2B2" w14:textId="77777777" w:rsidR="00876F3B" w:rsidRPr="00EE7AC3" w:rsidRDefault="00876F3B" w:rsidP="00D41B6A">
      <w:pPr>
        <w:spacing w:line="240" w:lineRule="auto"/>
        <w:jc w:val="left"/>
        <w:rPr>
          <w:bCs/>
        </w:rPr>
      </w:pPr>
      <w:r>
        <w:t xml:space="preserve">Preterists claim that this refers to the destruction of Jerusalem in AD 70. </w:t>
      </w:r>
      <w:r>
        <w:rPr>
          <w:bCs/>
        </w:rPr>
        <w:t>The Romans sieged Jerusalem for three years until they finally broke through the walls, killing the people and ravishing the city.</w:t>
      </w:r>
    </w:p>
    <w:p w14:paraId="446CF08B" w14:textId="77777777" w:rsidR="00876F3B" w:rsidRPr="00EE7AC3" w:rsidRDefault="00876F3B" w:rsidP="00D41B6A">
      <w:pPr>
        <w:spacing w:line="240" w:lineRule="auto"/>
        <w:jc w:val="left"/>
        <w:rPr>
          <w:bCs/>
        </w:rPr>
      </w:pPr>
      <w:r>
        <w:rPr>
          <w:bCs/>
        </w:rPr>
        <w:t xml:space="preserve">But a serious problem confronts this interpretation. Jesus tells the people to flee Judea </w:t>
      </w:r>
      <w:r>
        <w:rPr>
          <w:bCs/>
          <w:i/>
        </w:rPr>
        <w:t>after</w:t>
      </w:r>
      <w:r>
        <w:rPr>
          <w:bCs/>
        </w:rPr>
        <w:t xml:space="preserve"> they see the abomination of desolation (i.e. the destruction of the Temple). Yet the Romans destroyed the Jewish Temple at the </w:t>
      </w:r>
      <w:r>
        <w:rPr>
          <w:bCs/>
          <w:i/>
        </w:rPr>
        <w:t>end</w:t>
      </w:r>
      <w:r>
        <w:rPr>
          <w:bCs/>
        </w:rPr>
        <w:t xml:space="preserve"> of their </w:t>
      </w:r>
      <w:proofErr w:type="gramStart"/>
      <w:r>
        <w:rPr>
          <w:bCs/>
        </w:rPr>
        <w:t>three year</w:t>
      </w:r>
      <w:proofErr w:type="gramEnd"/>
      <w:r>
        <w:rPr>
          <w:bCs/>
        </w:rPr>
        <w:t xml:space="preserve"> siege—after </w:t>
      </w:r>
      <w:proofErr w:type="gramStart"/>
      <w:r>
        <w:rPr>
          <w:bCs/>
        </w:rPr>
        <w:t>all of</w:t>
      </w:r>
      <w:proofErr w:type="gramEnd"/>
      <w:r>
        <w:rPr>
          <w:bCs/>
        </w:rPr>
        <w:t xml:space="preserve"> the people were savagely murdered. Since this is the case, what use would it be to flee at this point? If anyone was still alive to see the destruction of the Temple, it would have only been after the wholesale slaughter of the city. This would be like telling the people of Hiroshima to flee the city when they see the mushroom cloud. It would’ve been too late to flee at this point. Everyone would’ve already been killed or sold into slavery at this time.</w:t>
      </w:r>
    </w:p>
    <w:p w14:paraId="2254E215" w14:textId="77777777" w:rsidR="00876F3B" w:rsidRPr="00EE7AC3" w:rsidRDefault="00876F3B" w:rsidP="00D41B6A">
      <w:pPr>
        <w:pStyle w:val="Heading4"/>
      </w:pPr>
      <w:r>
        <w:t>Matthew 24:21</w:t>
      </w:r>
    </w:p>
    <w:p w14:paraId="2D721473" w14:textId="77777777" w:rsidR="00876F3B" w:rsidRPr="00EE7AC3" w:rsidRDefault="00876F3B" w:rsidP="00D41B6A">
      <w:pPr>
        <w:spacing w:line="240" w:lineRule="auto"/>
        <w:ind w:left="720"/>
        <w:jc w:val="left"/>
      </w:pPr>
      <w:r>
        <w:t>There will be a great tribulation, such as has not occurred since the beginning of the world until now, nor ever will. (Mt. 24:21)</w:t>
      </w:r>
    </w:p>
    <w:p w14:paraId="0C874AEF" w14:textId="77777777" w:rsidR="00876F3B" w:rsidRPr="00EE7AC3" w:rsidRDefault="00876F3B" w:rsidP="00D41B6A">
      <w:pPr>
        <w:spacing w:line="240" w:lineRule="auto"/>
        <w:jc w:val="left"/>
        <w:rPr>
          <w:bCs/>
        </w:rPr>
      </w:pPr>
      <w:r>
        <w:rPr>
          <w:bCs/>
        </w:rPr>
        <w:t>Josephus estimated that the Romans killed 1.1 million Jews in AD 70,</w:t>
      </w:r>
      <w:r>
        <w:rPr>
          <w:rStyle w:val="FootnoteReference"/>
          <w:bCs/>
        </w:rPr>
        <w:footnoteReference w:id="68"/>
      </w:r>
      <w:r>
        <w:rPr>
          <w:bCs/>
        </w:rPr>
        <w:t xml:space="preserve"> and the descriptions of Jerusalem’s destruction horrify us to read. Yet this surely wasn’t the worst atrocity to ever occur on Earth (e.g. the Nazi Holocaust). To avoid this conclusion, DeMar argues that the language is “obviously proverbial and hyperbolic”</w:t>
      </w:r>
      <w:r>
        <w:rPr>
          <w:bCs/>
          <w:vertAlign w:val="superscript"/>
        </w:rPr>
        <w:footnoteReference w:id="69"/>
      </w:r>
      <w:r>
        <w:rPr>
          <w:bCs/>
        </w:rPr>
        <w:t xml:space="preserve"> and Jesus was only referring to Jerusalem—not the entire globe.</w:t>
      </w:r>
    </w:p>
    <w:p w14:paraId="3D526D6B" w14:textId="77777777" w:rsidR="00876F3B" w:rsidRPr="00EE7AC3" w:rsidRDefault="00876F3B" w:rsidP="00D41B6A">
      <w:pPr>
        <w:spacing w:line="240" w:lineRule="auto"/>
        <w:jc w:val="left"/>
        <w:rPr>
          <w:bCs/>
        </w:rPr>
      </w:pPr>
      <w:r>
        <w:rPr>
          <w:bCs/>
        </w:rPr>
        <w:t xml:space="preserve">Yet DeMar’s interpretation cannot be held consistently, because he argued just a few verses earlier (v.14) that the entire world extends at least to the Roman Empire. If Jesus’ expression “from the beginning of the </w:t>
      </w:r>
      <w:r>
        <w:rPr>
          <w:bCs/>
          <w:i/>
        </w:rPr>
        <w:t>world</w:t>
      </w:r>
      <w:r>
        <w:rPr>
          <w:bCs/>
        </w:rPr>
        <w:t>” is hyperbolic, it’s odd to limit his expression simply to the city of Jerusalem in this passage.</w:t>
      </w:r>
    </w:p>
    <w:p w14:paraId="1E3C7D5C" w14:textId="77777777" w:rsidR="00876F3B" w:rsidRPr="00EE7AC3" w:rsidRDefault="00876F3B" w:rsidP="00D41B6A">
      <w:pPr>
        <w:pStyle w:val="Heading4"/>
      </w:pPr>
      <w:r>
        <w:lastRenderedPageBreak/>
        <w:t>Matthew 24:22</w:t>
      </w:r>
    </w:p>
    <w:p w14:paraId="11A203F2" w14:textId="77777777" w:rsidR="00876F3B" w:rsidRPr="00EE7AC3" w:rsidRDefault="00876F3B" w:rsidP="00D41B6A">
      <w:pPr>
        <w:spacing w:line="240" w:lineRule="auto"/>
        <w:ind w:left="720"/>
        <w:jc w:val="left"/>
      </w:pPr>
      <w:r>
        <w:t xml:space="preserve">Unless those days had been cut short, no life would have been saved; but for the sake of the elect those days </w:t>
      </w:r>
      <w:proofErr w:type="gramStart"/>
      <w:r>
        <w:t>will</w:t>
      </w:r>
      <w:proofErr w:type="gramEnd"/>
      <w:r>
        <w:t xml:space="preserve"> be cut short. (Mt. 24:22)</w:t>
      </w:r>
    </w:p>
    <w:p w14:paraId="0F7E265F" w14:textId="77777777" w:rsidR="00876F3B" w:rsidRPr="00EE7AC3" w:rsidRDefault="00876F3B" w:rsidP="00D41B6A">
      <w:pPr>
        <w:spacing w:line="240" w:lineRule="auto"/>
        <w:jc w:val="left"/>
        <w:rPr>
          <w:bCs/>
        </w:rPr>
      </w:pPr>
      <w:r>
        <w:rPr>
          <w:bCs/>
        </w:rPr>
        <w:t>Jesus says that “no life would have been saved” unless this period of history was cut short. DeMar interprets this to mean that “God also restrained the Romans from venting their anger completely.”</w:t>
      </w:r>
      <w:r>
        <w:rPr>
          <w:bCs/>
          <w:vertAlign w:val="superscript"/>
        </w:rPr>
        <w:footnoteReference w:id="70"/>
      </w:r>
      <w:r>
        <w:rPr>
          <w:bCs/>
        </w:rPr>
        <w:t xml:space="preserve"> Thus “all life” refers “to those living in Judea.”</w:t>
      </w:r>
      <w:r>
        <w:rPr>
          <w:bCs/>
          <w:vertAlign w:val="superscript"/>
        </w:rPr>
        <w:footnoteReference w:id="71"/>
      </w:r>
    </w:p>
    <w:p w14:paraId="7592BA9D" w14:textId="77777777" w:rsidR="00876F3B" w:rsidRPr="00EE7AC3" w:rsidRDefault="00876F3B" w:rsidP="00D41B6A">
      <w:pPr>
        <w:spacing w:line="240" w:lineRule="auto"/>
        <w:jc w:val="left"/>
        <w:rPr>
          <w:bCs/>
        </w:rPr>
      </w:pPr>
      <w:r>
        <w:rPr>
          <w:bCs/>
        </w:rPr>
        <w:t>Futurists note that the NT uses the expression (“all life”) ten times (Mt. 24:22; Mk. 13:20; Lk. 3:6; Jn. 17:2; Acts 2:17; Rom. 3:20; 1 Cor. 1:29; 15:39; Gal. 2:16; 1 Pet. 1:24), and “in every case except 1 Corinthians 15:39 the expression describes all humans. In that passage Paul was discussing the nature of the resurrection body: ‘All flesh is not the same flesh, but there is one flesh of men, and another flesh of beasts.’ Here he used the phrase in an even broader sense to designate all human and animal life.”</w:t>
      </w:r>
      <w:r>
        <w:rPr>
          <w:bCs/>
          <w:vertAlign w:val="superscript"/>
        </w:rPr>
        <w:footnoteReference w:id="72"/>
      </w:r>
      <w:r>
        <w:rPr>
          <w:bCs/>
        </w:rPr>
        <w:t xml:space="preserve"> Luke’s account is even stronger than Matthew’s. He writes, “It will come upon all those who dwell on the face of all the earth” (Lk. 21:35). This cannot merely refer to the destruction of the Temple in AD 70.</w:t>
      </w:r>
    </w:p>
    <w:p w14:paraId="190E0A68" w14:textId="77777777" w:rsidR="00876F3B" w:rsidRPr="00EE7AC3" w:rsidRDefault="00876F3B" w:rsidP="00D41B6A">
      <w:pPr>
        <w:pStyle w:val="Heading4"/>
      </w:pPr>
      <w:r>
        <w:t>Matthew 24:27</w:t>
      </w:r>
    </w:p>
    <w:p w14:paraId="4AB1E483" w14:textId="77777777" w:rsidR="00876F3B" w:rsidRPr="00EE7AC3" w:rsidRDefault="00876F3B" w:rsidP="00D41B6A">
      <w:pPr>
        <w:spacing w:line="240" w:lineRule="auto"/>
        <w:ind w:left="720"/>
        <w:jc w:val="left"/>
      </w:pPr>
      <w:r>
        <w:t>Just as the lightning comes from the east and flashes even to the west, so will the coming of the Son of Man be. (Mt. 24:27)</w:t>
      </w:r>
    </w:p>
    <w:p w14:paraId="2598604A" w14:textId="77777777" w:rsidR="00876F3B" w:rsidRPr="00EE7AC3" w:rsidRDefault="00876F3B" w:rsidP="00D41B6A">
      <w:pPr>
        <w:spacing w:line="240" w:lineRule="auto"/>
        <w:jc w:val="left"/>
      </w:pPr>
      <w:r>
        <w:t xml:space="preserve">DeMar argues that God often revealed his presence through “lightning” (Ex. 19:16; 20:18; Job 36:30; Ezek. 21:15, 28; Zech. 9:14), but this isn’t supposed to be interpreted literally. Moreover, he notes that even though “The LORD </w:t>
      </w:r>
      <w:r>
        <w:rPr>
          <w:i/>
        </w:rPr>
        <w:t>came</w:t>
      </w:r>
      <w:r>
        <w:t xml:space="preserve"> from Sinai” (Deut. 33:2), this wasn’t a visible coming. He writes, “Was God physically present? He was not. Did He come? Most certainly!” He then cites Jesus coming to judge the churches of Ephesus (Rev. 2:5), Pergamum (2:16), and Sardis (3:3). He asks, “Were any of these comings the Second Coming?”</w:t>
      </w:r>
      <w:r>
        <w:rPr>
          <w:bCs/>
          <w:vertAlign w:val="superscript"/>
        </w:rPr>
        <w:footnoteReference w:id="73"/>
      </w:r>
    </w:p>
    <w:p w14:paraId="61B2C388" w14:textId="77777777" w:rsidR="00876F3B" w:rsidRPr="00EE7AC3" w:rsidRDefault="00876F3B" w:rsidP="00D41B6A">
      <w:pPr>
        <w:spacing w:line="240" w:lineRule="auto"/>
        <w:jc w:val="left"/>
      </w:pPr>
      <w:r>
        <w:t xml:space="preserve">However, this interpretation seems to overlook a very important theological difference between God the Father and God the Son. God the Father is not a </w:t>
      </w:r>
      <w:r>
        <w:rPr>
          <w:i/>
        </w:rPr>
        <w:t>physical</w:t>
      </w:r>
      <w:r>
        <w:t xml:space="preserve"> being (Jn. 4:24), but God the Son took on human flesh (Jn. 1:14). </w:t>
      </w:r>
      <w:r>
        <w:rPr>
          <w:bCs/>
        </w:rPr>
        <w:t xml:space="preserve">Jesus doesn’t say that </w:t>
      </w:r>
      <w:r>
        <w:rPr>
          <w:bCs/>
          <w:i/>
        </w:rPr>
        <w:t>God</w:t>
      </w:r>
      <w:r>
        <w:rPr>
          <w:bCs/>
        </w:rPr>
        <w:t xml:space="preserve"> will come on the clouds; he says </w:t>
      </w:r>
      <w:r>
        <w:rPr>
          <w:bCs/>
          <w:i/>
        </w:rPr>
        <w:t>the Son of Man</w:t>
      </w:r>
      <w:r>
        <w:rPr>
          <w:bCs/>
        </w:rPr>
        <w:t xml:space="preserve"> will come. The angels told the disciples that Jesus would return to Earth bodily in the same way that he left bodily (Acts 1:9-11). All of this presupposes a literal and visible return of Christ—not a symbolic one.</w:t>
      </w:r>
    </w:p>
    <w:p w14:paraId="220431A4" w14:textId="77777777" w:rsidR="00876F3B" w:rsidRPr="00EE7AC3" w:rsidRDefault="00876F3B" w:rsidP="00D41B6A">
      <w:pPr>
        <w:spacing w:line="240" w:lineRule="auto"/>
        <w:jc w:val="left"/>
      </w:pPr>
      <w:r>
        <w:t xml:space="preserve">As for DeMar’s argument regarding Jesus “coming” to the churches in Revelation 2 and 3, this doesn’t offer a very good parallel either. The word for “coming” in Matthew 24:27 is </w:t>
      </w:r>
      <w:proofErr w:type="spellStart"/>
      <w:r>
        <w:rPr>
          <w:i/>
        </w:rPr>
        <w:t>parousia</w:t>
      </w:r>
      <w:proofErr w:type="spellEnd"/>
      <w:r>
        <w:t xml:space="preserve">—whereas the terms used for these churches is </w:t>
      </w:r>
      <w:proofErr w:type="spellStart"/>
      <w:r>
        <w:rPr>
          <w:i/>
        </w:rPr>
        <w:t>erchomai</w:t>
      </w:r>
      <w:proofErr w:type="spellEnd"/>
      <w:r>
        <w:t xml:space="preserve"> and </w:t>
      </w:r>
      <w:proofErr w:type="spellStart"/>
      <w:r>
        <w:rPr>
          <w:i/>
        </w:rPr>
        <w:t>heko</w:t>
      </w:r>
      <w:proofErr w:type="spellEnd"/>
      <w:r>
        <w:t>. While the English translations render these visitations as the “coming” of Christ, the original Greek language uses two different terms, describing two different types of visitations.</w:t>
      </w:r>
    </w:p>
    <w:p w14:paraId="15F13660" w14:textId="77777777" w:rsidR="00876F3B" w:rsidRPr="00EE7AC3" w:rsidRDefault="00876F3B" w:rsidP="00D41B6A">
      <w:pPr>
        <w:pStyle w:val="Heading4"/>
      </w:pPr>
      <w:r>
        <w:lastRenderedPageBreak/>
        <w:t>Matthew 24:30</w:t>
      </w:r>
    </w:p>
    <w:p w14:paraId="61BFB386" w14:textId="77777777" w:rsidR="00876F3B" w:rsidRPr="00EE7AC3" w:rsidRDefault="00876F3B" w:rsidP="00D41B6A">
      <w:pPr>
        <w:spacing w:line="240" w:lineRule="auto"/>
        <w:ind w:left="720"/>
        <w:jc w:val="left"/>
      </w:pPr>
      <w:r>
        <w:t>The sign of the Son of Man will appear in the sky, and then all the tribes of the earth will mourn, and they will see the Son of Man coming on the clouds of the sky with power and great glory. (Mt. 24:30)</w:t>
      </w:r>
    </w:p>
    <w:p w14:paraId="125713CB" w14:textId="77777777" w:rsidR="00876F3B" w:rsidRPr="00EE7AC3" w:rsidRDefault="00876F3B" w:rsidP="00D41B6A">
      <w:pPr>
        <w:spacing w:line="240" w:lineRule="auto"/>
        <w:jc w:val="left"/>
        <w:rPr>
          <w:bCs/>
        </w:rPr>
      </w:pPr>
      <w:r>
        <w:rPr>
          <w:bCs/>
        </w:rPr>
        <w:t>DeMar argues that in the OT God often delivered judgment in a symbolic way through “clouds” (Ps. 104:3; Isa. 19:1).</w:t>
      </w:r>
      <w:r>
        <w:rPr>
          <w:bCs/>
          <w:vertAlign w:val="superscript"/>
        </w:rPr>
        <w:footnoteReference w:id="74"/>
      </w:r>
      <w:r>
        <w:rPr>
          <w:bCs/>
        </w:rPr>
        <w:t xml:space="preserve"> However, while the “cloud” motif often refers to God’s judgment in the OT, the OT authors consistently use this symbol to explain God’s judgment against</w:t>
      </w:r>
      <w:r>
        <w:rPr>
          <w:bCs/>
          <w:i/>
        </w:rPr>
        <w:t xml:space="preserve"> the enemies of Israel</w:t>
      </w:r>
      <w:r>
        <w:rPr>
          <w:bCs/>
        </w:rPr>
        <w:t xml:space="preserve">—not </w:t>
      </w:r>
      <w:r>
        <w:rPr>
          <w:bCs/>
          <w:i/>
        </w:rPr>
        <w:t>Israel</w:t>
      </w:r>
      <w:r>
        <w:rPr>
          <w:bCs/>
        </w:rPr>
        <w:t xml:space="preserve"> herself. For instance, Zechariah writes, “In that day I will set about to destroy all the nations that come </w:t>
      </w:r>
      <w:r>
        <w:rPr>
          <w:bCs/>
          <w:i/>
        </w:rPr>
        <w:t>against</w:t>
      </w:r>
      <w:r>
        <w:rPr>
          <w:bCs/>
        </w:rPr>
        <w:t xml:space="preserve"> Jerusalem” (Zech. 12:9). </w:t>
      </w:r>
      <w:proofErr w:type="gramStart"/>
      <w:r>
        <w:rPr>
          <w:bCs/>
        </w:rPr>
        <w:t>In order for</w:t>
      </w:r>
      <w:proofErr w:type="gramEnd"/>
      <w:r>
        <w:rPr>
          <w:bCs/>
        </w:rPr>
        <w:t xml:space="preserve"> the Preterist reading to stand, Zechariah would have to be dead wrong (cf. Ezek. 38). Interestingly, DeMar takes Zechariah 12:10 as fulfilled in AD </w:t>
      </w:r>
      <w:proofErr w:type="gramStart"/>
      <w:r>
        <w:rPr>
          <w:bCs/>
        </w:rPr>
        <w:t>70, but</w:t>
      </w:r>
      <w:proofErr w:type="gramEnd"/>
      <w:r>
        <w:rPr>
          <w:bCs/>
        </w:rPr>
        <w:t xml:space="preserve"> mentions nothing about verse 9.</w:t>
      </w:r>
      <w:r>
        <w:rPr>
          <w:bCs/>
          <w:vertAlign w:val="superscript"/>
        </w:rPr>
        <w:footnoteReference w:id="75"/>
      </w:r>
    </w:p>
    <w:p w14:paraId="319F0CBE" w14:textId="77777777" w:rsidR="00876F3B" w:rsidRPr="00EE7AC3" w:rsidRDefault="00876F3B" w:rsidP="00D41B6A">
      <w:pPr>
        <w:pStyle w:val="Heading4"/>
      </w:pPr>
      <w:r>
        <w:t>Matthew 24:31</w:t>
      </w:r>
    </w:p>
    <w:p w14:paraId="3DB89F21" w14:textId="77777777" w:rsidR="00876F3B" w:rsidRPr="00EE7AC3" w:rsidRDefault="00876F3B" w:rsidP="00D41B6A">
      <w:pPr>
        <w:spacing w:line="240" w:lineRule="auto"/>
        <w:ind w:left="720"/>
        <w:jc w:val="left"/>
      </w:pPr>
      <w:r>
        <w:t>He will send forth His angels (</w:t>
      </w:r>
      <w:proofErr w:type="spellStart"/>
      <w:r>
        <w:rPr>
          <w:i/>
        </w:rPr>
        <w:t>angelous</w:t>
      </w:r>
      <w:proofErr w:type="spellEnd"/>
      <w:r>
        <w:t xml:space="preserve">) with a great </w:t>
      </w:r>
      <w:proofErr w:type="gramStart"/>
      <w:r>
        <w:t>trumpet</w:t>
      </w:r>
      <w:proofErr w:type="gramEnd"/>
      <w:r>
        <w:t xml:space="preserve"> and they will </w:t>
      </w:r>
      <w:proofErr w:type="gramStart"/>
      <w:r>
        <w:t>gather together</w:t>
      </w:r>
      <w:proofErr w:type="gramEnd"/>
      <w:r>
        <w:t xml:space="preserve"> His elect from the four winds. (Mt. 24:31)</w:t>
      </w:r>
    </w:p>
    <w:p w14:paraId="6EBD811D" w14:textId="77777777" w:rsidR="00876F3B" w:rsidRPr="00EE7AC3" w:rsidRDefault="00876F3B" w:rsidP="00D41B6A">
      <w:pPr>
        <w:spacing w:line="240" w:lineRule="auto"/>
        <w:jc w:val="left"/>
        <w:rPr>
          <w:bCs/>
        </w:rPr>
      </w:pPr>
      <w:r>
        <w:rPr>
          <w:bCs/>
        </w:rPr>
        <w:t xml:space="preserve">DeMar interprets the angels to be </w:t>
      </w:r>
      <w:r>
        <w:rPr>
          <w:bCs/>
          <w:i/>
        </w:rPr>
        <w:t>human</w:t>
      </w:r>
      <w:r>
        <w:rPr>
          <w:bCs/>
        </w:rPr>
        <w:t xml:space="preserve"> messengers, noting that the NT uses the same word (</w:t>
      </w:r>
      <w:proofErr w:type="spellStart"/>
      <w:r>
        <w:rPr>
          <w:bCs/>
          <w:i/>
        </w:rPr>
        <w:t>angelous</w:t>
      </w:r>
      <w:proofErr w:type="spellEnd"/>
      <w:r>
        <w:rPr>
          <w:bCs/>
        </w:rPr>
        <w:t>) to describe John the Baptist (Mt. 11:10), the disciples (Lk. 9:52), and the Jericho spies (Jas. 2:25).</w:t>
      </w:r>
      <w:r>
        <w:rPr>
          <w:bCs/>
          <w:vertAlign w:val="superscript"/>
        </w:rPr>
        <w:footnoteReference w:id="76"/>
      </w:r>
      <w:r>
        <w:rPr>
          <w:bCs/>
        </w:rPr>
        <w:t xml:space="preserve"> Thus he interprets the “angels” to refer to the spread of the gospel.</w:t>
      </w:r>
    </w:p>
    <w:p w14:paraId="770F245A" w14:textId="77777777" w:rsidR="00876F3B" w:rsidRPr="00EE7AC3" w:rsidRDefault="00876F3B" w:rsidP="00D41B6A">
      <w:pPr>
        <w:spacing w:line="240" w:lineRule="auto"/>
        <w:jc w:val="left"/>
        <w:rPr>
          <w:bCs/>
        </w:rPr>
      </w:pPr>
      <w:r>
        <w:rPr>
          <w:bCs/>
        </w:rPr>
        <w:t xml:space="preserve">But just a few verses later, Jesus refers to these beings as “the angels </w:t>
      </w:r>
      <w:r>
        <w:rPr>
          <w:bCs/>
          <w:i/>
        </w:rPr>
        <w:t>of heaven</w:t>
      </w:r>
      <w:r>
        <w:rPr>
          <w:bCs/>
        </w:rPr>
        <w:t>” (Mt. 24:36), rather than human messengers. Moreover, this leads to the conclusion that world evangelism did not begin until after the destruction of Jerusalem in AD 70—a bizarre inference indeed.</w:t>
      </w:r>
    </w:p>
    <w:p w14:paraId="1AF2836A" w14:textId="77777777" w:rsidR="00876F3B" w:rsidRPr="00EE7AC3" w:rsidRDefault="00876F3B" w:rsidP="00D41B6A">
      <w:pPr>
        <w:pStyle w:val="Heading4"/>
      </w:pPr>
      <w:r>
        <w:t>Matthew 24:34</w:t>
      </w:r>
    </w:p>
    <w:p w14:paraId="64A83094" w14:textId="77777777" w:rsidR="00876F3B" w:rsidRPr="00EE7AC3" w:rsidRDefault="00876F3B" w:rsidP="00D41B6A">
      <w:pPr>
        <w:spacing w:line="240" w:lineRule="auto"/>
        <w:ind w:left="720"/>
        <w:jc w:val="left"/>
      </w:pPr>
      <w:r>
        <w:t xml:space="preserve">Truly I say to you, </w:t>
      </w:r>
      <w:r>
        <w:rPr>
          <w:i/>
        </w:rPr>
        <w:t>this generation</w:t>
      </w:r>
      <w:r>
        <w:t xml:space="preserve"> will not pass away until all these things take place. (Mt. 24:34)</w:t>
      </w:r>
    </w:p>
    <w:p w14:paraId="235C8B03" w14:textId="77777777" w:rsidR="00876F3B" w:rsidRPr="00EE7AC3" w:rsidRDefault="00876F3B" w:rsidP="00D41B6A">
      <w:pPr>
        <w:spacing w:line="240" w:lineRule="auto"/>
        <w:jc w:val="left"/>
      </w:pPr>
      <w:r>
        <w:t>Preterists argue that Jesus was clearly claiming that his hearers (“</w:t>
      </w:r>
      <w:r>
        <w:rPr>
          <w:i/>
        </w:rPr>
        <w:t>this</w:t>
      </w:r>
      <w:r>
        <w:t xml:space="preserve"> generation”) would be alive when these events took place. DeMar states, “If you heard Jesus say that all these things would happen to ‘this generation,’ and in every other instance of its use ‘this generation’ meant the present generation, and you also heard Him speak of when ‘you’ see these things, what would you conclude?”</w:t>
      </w:r>
      <w:r>
        <w:rPr>
          <w:bCs/>
          <w:vertAlign w:val="superscript"/>
        </w:rPr>
        <w:footnoteReference w:id="77"/>
      </w:r>
      <w:r>
        <w:t xml:space="preserve"> How could Jesus’ prediction be true, unless he returned in AD 70? This passage serves as a key to the Preterist interpretation of the Olivet Discourse. </w:t>
      </w:r>
    </w:p>
    <w:p w14:paraId="304DC57C" w14:textId="77777777" w:rsidR="00876F3B" w:rsidRPr="00EE7AC3" w:rsidRDefault="00876F3B" w:rsidP="00D41B6A">
      <w:pPr>
        <w:spacing w:line="240" w:lineRule="auto"/>
        <w:jc w:val="left"/>
      </w:pPr>
      <w:r>
        <w:t xml:space="preserve">However, Jesus didn’t always use the term “you” to refer solely to his original audience. In the previous chapter, Jesus said, “Upon </w:t>
      </w:r>
      <w:r>
        <w:rPr>
          <w:i/>
        </w:rPr>
        <w:t>you</w:t>
      </w:r>
      <w:r>
        <w:t xml:space="preserve"> may fall the guilt of all the righteous blood shed on earth, from the blood of righteous Abel to the blood of Zechariah, the son of Berechiah, whom </w:t>
      </w:r>
      <w:r>
        <w:rPr>
          <w:i/>
        </w:rPr>
        <w:t>you murdered</w:t>
      </w:r>
      <w:r>
        <w:t xml:space="preserve"> between the temple and the altar” (Mt. 23:35). Of course, Jesus’ audience had not personally murdered </w:t>
      </w:r>
      <w:proofErr w:type="gramStart"/>
      <w:r>
        <w:t>all of</w:t>
      </w:r>
      <w:proofErr w:type="gramEnd"/>
      <w:r>
        <w:t xml:space="preserve"> the </w:t>
      </w:r>
      <w:proofErr w:type="spellStart"/>
      <w:r>
        <w:t>prophets</w:t>
      </w:r>
      <w:proofErr w:type="spellEnd"/>
      <w:r>
        <w:t xml:space="preserve"> from the time of Abel. Yet Jesus used the </w:t>
      </w:r>
      <w:r>
        <w:lastRenderedPageBreak/>
        <w:t xml:space="preserve">term “you” to condemn them. Moreover, Jesus claimed that his hearers would sing, “Blessed is he who comes in the name of the Lord” when he returned to the Temple (Mt. 23:39). However, as the Roman armies stabbed and burned them to death, it’s hard to imagine the unbelieving Pharisees blessing Christ’s authority! He must have believed that a </w:t>
      </w:r>
      <w:r>
        <w:rPr>
          <w:i/>
        </w:rPr>
        <w:t>future</w:t>
      </w:r>
      <w:r>
        <w:t xml:space="preserve"> generation would bless him at his climactic Second Coming (Zech. 12; Rom. 11:25-29).</w:t>
      </w:r>
    </w:p>
    <w:p w14:paraId="329E0642" w14:textId="77777777" w:rsidR="00876F3B" w:rsidRPr="00EE7AC3" w:rsidRDefault="00876F3B" w:rsidP="00D41B6A">
      <w:pPr>
        <w:spacing w:line="240" w:lineRule="auto"/>
        <w:jc w:val="left"/>
      </w:pPr>
      <w:r>
        <w:t xml:space="preserve">Instead, when Jesus refers to “this generation,” he is referring to those who will see “all these things,” namely </w:t>
      </w:r>
      <w:proofErr w:type="gramStart"/>
      <w:r>
        <w:t>all of</w:t>
      </w:r>
      <w:proofErr w:type="gramEnd"/>
      <w:r>
        <w:t xml:space="preserve"> the events he had just predicted. Mark’s parallel account states, “Even so, you too, </w:t>
      </w:r>
      <w:r>
        <w:rPr>
          <w:i/>
        </w:rPr>
        <w:t>when you see these things happening</w:t>
      </w:r>
      <w:r>
        <w:t xml:space="preserve">, recognize that He is near, right at the door. </w:t>
      </w:r>
      <w:r>
        <w:rPr>
          <w:vertAlign w:val="superscript"/>
        </w:rPr>
        <w:t>30</w:t>
      </w:r>
      <w:r>
        <w:t xml:space="preserve"> Truly I say to you, </w:t>
      </w:r>
      <w:r>
        <w:rPr>
          <w:i/>
        </w:rPr>
        <w:t>this generation</w:t>
      </w:r>
      <w:r>
        <w:t xml:space="preserve"> will not pass away until all </w:t>
      </w:r>
      <w:r>
        <w:rPr>
          <w:i/>
        </w:rPr>
        <w:t>these things</w:t>
      </w:r>
      <w:r>
        <w:t xml:space="preserve"> take place” (Mk. 13:29-30). Since Jesus’ audience hadn’t seen </w:t>
      </w:r>
      <w:proofErr w:type="gramStart"/>
      <w:r>
        <w:t>all of</w:t>
      </w:r>
      <w:proofErr w:type="gramEnd"/>
      <w:r>
        <w:t xml:space="preserve"> the events, we should expect a future generation to witness “all these things.”</w:t>
      </w:r>
    </w:p>
    <w:p w14:paraId="7362CE24" w14:textId="77777777" w:rsidR="00876F3B" w:rsidRPr="00EE7AC3" w:rsidRDefault="00876F3B" w:rsidP="00D41B6A">
      <w:pPr>
        <w:pStyle w:val="Heading4"/>
      </w:pPr>
      <w:r>
        <w:t>What about the other statements from Jesus?</w:t>
      </w:r>
    </w:p>
    <w:p w14:paraId="308B35D0" w14:textId="77777777" w:rsidR="00876F3B" w:rsidRPr="00EE7AC3" w:rsidRDefault="00876F3B" w:rsidP="00D41B6A">
      <w:pPr>
        <w:spacing w:line="240" w:lineRule="auto"/>
        <w:jc w:val="left"/>
      </w:pPr>
      <w:r>
        <w:t xml:space="preserve">Preterists point to other key passages outside of the Olivet Discourse to support their view. For instance, Jesus said, “You will not finish going through the cities of Israel until the Son of Man comes” (Mt. 10:23). Futurists argue that this doesn’t refer to the Second Coming, noting that Jesus uses the term </w:t>
      </w:r>
      <w:proofErr w:type="spellStart"/>
      <w:r>
        <w:rPr>
          <w:i/>
        </w:rPr>
        <w:t>erchomai</w:t>
      </w:r>
      <w:proofErr w:type="spellEnd"/>
      <w:r>
        <w:t xml:space="preserve"> (“comes”), rather than the term </w:t>
      </w:r>
      <w:proofErr w:type="spellStart"/>
      <w:r>
        <w:rPr>
          <w:i/>
        </w:rPr>
        <w:t>parousia</w:t>
      </w:r>
      <w:proofErr w:type="spellEnd"/>
      <w:r>
        <w:t xml:space="preserve"> (the normal term for the Second Coming). </w:t>
      </w:r>
      <w:proofErr w:type="gramStart"/>
      <w:r>
        <w:t>Thus</w:t>
      </w:r>
      <w:proofErr w:type="gramEnd"/>
      <w:r>
        <w:t xml:space="preserve"> Jesus may only be communicating that he will meet with his disciples before they finish their local mission.</w:t>
      </w:r>
      <w:r>
        <w:rPr>
          <w:vertAlign w:val="superscript"/>
        </w:rPr>
        <w:footnoteReference w:id="78"/>
      </w:r>
    </w:p>
    <w:p w14:paraId="679C346B" w14:textId="77777777" w:rsidR="00876F3B" w:rsidRPr="00EE7AC3" w:rsidRDefault="00876F3B" w:rsidP="00D41B6A">
      <w:pPr>
        <w:spacing w:line="240" w:lineRule="auto"/>
        <w:jc w:val="left"/>
      </w:pPr>
      <w:r>
        <w:t xml:space="preserve">Likewise, when Jesus said, “There are some of those who are standing here who will not taste death until they see the Son of Man coming in His kingdom” (Mt. 16:28), this refers to the very next verse—namely, the Transfiguration (Mt. 17:1). Peter and John travelled with Jesus to the Mount of Transfiguration, and both men associated Jesus’ glory with the Transfiguration—not with the destruction of the Temple (2 Pet. 1:16-18; Jn. 1:14). Peter died before the destruction of the Temple, but he refers to the Transfiguration as the “coming” (Greek </w:t>
      </w:r>
      <w:proofErr w:type="spellStart"/>
      <w:r>
        <w:rPr>
          <w:i/>
        </w:rPr>
        <w:t>parousia</w:t>
      </w:r>
      <w:proofErr w:type="spellEnd"/>
      <w:r>
        <w:t>) of Christ.</w:t>
      </w:r>
      <w:r>
        <w:rPr>
          <w:rStyle w:val="FootnoteReference"/>
        </w:rPr>
        <w:footnoteReference w:id="79"/>
      </w:r>
    </w:p>
    <w:p w14:paraId="6E93CE20" w14:textId="77777777" w:rsidR="00876F3B" w:rsidRPr="00EE7AC3" w:rsidRDefault="00876F3B" w:rsidP="00D41B6A">
      <w:pPr>
        <w:pStyle w:val="Heading4"/>
      </w:pPr>
      <w:bookmarkStart w:id="19" w:name="_Toc412370806"/>
      <w:r>
        <w:t>Conclusion</w:t>
      </w:r>
      <w:bookmarkEnd w:id="19"/>
    </w:p>
    <w:p w14:paraId="5DAEE63B" w14:textId="7259B5D2" w:rsidR="00876F3B" w:rsidRDefault="00876F3B" w:rsidP="00D41B6A">
      <w:pPr>
        <w:spacing w:line="240" w:lineRule="auto"/>
        <w:jc w:val="left"/>
      </w:pPr>
      <w:r>
        <w:t xml:space="preserve">Preterists want to offer an interpretation of Jesus’ teaching which appeals to skeptical readers. But whatever they give with one hand, they take away with the other. When read carefully, </w:t>
      </w:r>
      <w:proofErr w:type="gramStart"/>
      <w:r>
        <w:t>a first</w:t>
      </w:r>
      <w:proofErr w:type="gramEnd"/>
      <w:r>
        <w:t xml:space="preserve"> century fulfillment of the Olivet Discourse creates more problems than it solves. Since Jesus’ predictions have not been fulfilled yet, we should expect their fulfillment in the future.</w:t>
      </w:r>
    </w:p>
    <w:sectPr w:rsidR="00876F3B">
      <w:footerReference w:type="default" r:id="rId12"/>
      <w:pgSz w:w="12240" w:h="15840"/>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AB408" w14:textId="77777777" w:rsidR="00F12DFE" w:rsidRDefault="00F12DFE">
      <w:pPr>
        <w:spacing w:after="0" w:line="240" w:lineRule="auto"/>
      </w:pPr>
      <w:r>
        <w:separator/>
      </w:r>
    </w:p>
  </w:endnote>
  <w:endnote w:type="continuationSeparator" w:id="0">
    <w:p w14:paraId="5AADDFB5" w14:textId="77777777" w:rsidR="00F12DFE" w:rsidRDefault="00F12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E301" w14:textId="5831EB5C" w:rsidR="008C0155" w:rsidRPr="003B4166" w:rsidRDefault="003B4166">
    <w:pPr>
      <w:pBdr>
        <w:top w:val="single" w:sz="12" w:space="2" w:color="000000"/>
        <w:left w:val="nil"/>
        <w:bottom w:val="nil"/>
        <w:right w:val="nil"/>
        <w:between w:val="nil"/>
      </w:pBdr>
      <w:tabs>
        <w:tab w:val="center" w:pos="4680"/>
        <w:tab w:val="right" w:pos="9360"/>
      </w:tabs>
      <w:spacing w:after="0"/>
      <w:jc w:val="left"/>
      <w:rPr>
        <w:i/>
        <w:iCs/>
        <w:color w:val="000000"/>
        <w:sz w:val="18"/>
        <w:szCs w:val="18"/>
        <w:lang w:bidi="en-US"/>
      </w:rPr>
    </w:pPr>
    <w:r w:rsidRPr="003B4166">
      <w:rPr>
        <w:color w:val="000000"/>
        <w:sz w:val="18"/>
        <w:szCs w:val="18"/>
        <w:lang w:bidi="en-US"/>
      </w:rPr>
      <w:t>Copyright © 2026 by James Rochford, “The Bible and the End of Human History.” Evidence Unseen</w:t>
    </w:r>
    <w:r>
      <w:rPr>
        <w:color w:val="000000"/>
        <w:sz w:val="18"/>
        <w:szCs w:val="18"/>
        <w:lang w:bidi="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DF406" w14:textId="77777777" w:rsidR="00F12DFE" w:rsidRDefault="00F12DFE">
      <w:pPr>
        <w:spacing w:after="0" w:line="240" w:lineRule="auto"/>
      </w:pPr>
      <w:r>
        <w:separator/>
      </w:r>
    </w:p>
  </w:footnote>
  <w:footnote w:type="continuationSeparator" w:id="0">
    <w:p w14:paraId="2EDE1209" w14:textId="77777777" w:rsidR="00F12DFE" w:rsidRDefault="00F12DFE">
      <w:pPr>
        <w:spacing w:after="0" w:line="240" w:lineRule="auto"/>
      </w:pPr>
      <w:r>
        <w:continuationSeparator/>
      </w:r>
    </w:p>
  </w:footnote>
  <w:footnote w:id="1">
    <w:p w14:paraId="05F311F6"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David Chilton, </w:t>
      </w:r>
      <w:r w:rsidRPr="002162D3">
        <w:rPr>
          <w:rFonts w:ascii="Garamond" w:hAnsi="Garamond"/>
          <w:i/>
          <w:sz w:val="20"/>
          <w:szCs w:val="20"/>
        </w:rPr>
        <w:t>The Days of Vengeance: An Exposition of the Book of Revelation</w:t>
      </w:r>
      <w:r w:rsidRPr="002162D3">
        <w:rPr>
          <w:rFonts w:ascii="Garamond" w:hAnsi="Garamond"/>
          <w:sz w:val="20"/>
          <w:szCs w:val="20"/>
        </w:rPr>
        <w:t xml:space="preserve"> (Ft. Worth, TX: Dominion, 1987), 40, 43.</w:t>
      </w:r>
    </w:p>
  </w:footnote>
  <w:footnote w:id="2">
    <w:p w14:paraId="5904B8D2"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For an example of Hyper Preterism, see Don K. Preston, </w:t>
      </w:r>
      <w:r w:rsidRPr="002162D3">
        <w:rPr>
          <w:rFonts w:ascii="Garamond" w:hAnsi="Garamond"/>
          <w:i/>
          <w:sz w:val="20"/>
          <w:szCs w:val="20"/>
        </w:rPr>
        <w:t>Who Is This Babylon?</w:t>
      </w:r>
      <w:r w:rsidRPr="002162D3">
        <w:rPr>
          <w:rFonts w:ascii="Garamond" w:hAnsi="Garamond"/>
          <w:sz w:val="20"/>
          <w:szCs w:val="20"/>
        </w:rPr>
        <w:t xml:space="preserve"> (Nashville, TN: Thomas Nelson, 2011.</w:t>
      </w:r>
    </w:p>
  </w:footnote>
  <w:footnote w:id="3">
    <w:p w14:paraId="253341CF"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For example, see Preterist Dee </w:t>
      </w:r>
      <w:proofErr w:type="spellStart"/>
      <w:r w:rsidRPr="002162D3">
        <w:rPr>
          <w:rFonts w:ascii="Garamond" w:hAnsi="Garamond"/>
          <w:sz w:val="20"/>
          <w:szCs w:val="20"/>
        </w:rPr>
        <w:t>Dee</w:t>
      </w:r>
      <w:proofErr w:type="spellEnd"/>
      <w:r w:rsidRPr="002162D3">
        <w:rPr>
          <w:rFonts w:ascii="Garamond" w:hAnsi="Garamond"/>
          <w:sz w:val="20"/>
          <w:szCs w:val="20"/>
        </w:rPr>
        <w:t xml:space="preserve"> Warren’s argument in her “Matthew 24 Podcasts,” specifically “Episode 3: Perfuming the Hog of </w:t>
      </w:r>
      <w:proofErr w:type="spellStart"/>
      <w:r w:rsidRPr="002162D3">
        <w:rPr>
          <w:rFonts w:ascii="Garamond" w:hAnsi="Garamond"/>
          <w:sz w:val="20"/>
          <w:szCs w:val="20"/>
        </w:rPr>
        <w:t>Hyperpreterist</w:t>
      </w:r>
      <w:proofErr w:type="spellEnd"/>
      <w:r w:rsidRPr="002162D3">
        <w:rPr>
          <w:rFonts w:ascii="Garamond" w:hAnsi="Garamond"/>
          <w:sz w:val="20"/>
          <w:szCs w:val="20"/>
        </w:rPr>
        <w:t xml:space="preserve"> Mythology.” Warren argues that the heretics deserve the qualification of </w:t>
      </w:r>
      <w:r w:rsidRPr="002162D3">
        <w:rPr>
          <w:rFonts w:ascii="Garamond" w:hAnsi="Garamond"/>
          <w:i/>
          <w:sz w:val="20"/>
          <w:szCs w:val="20"/>
        </w:rPr>
        <w:t>Hyper</w:t>
      </w:r>
      <w:r w:rsidRPr="002162D3">
        <w:rPr>
          <w:rFonts w:ascii="Garamond" w:hAnsi="Garamond"/>
          <w:sz w:val="20"/>
          <w:szCs w:val="20"/>
        </w:rPr>
        <w:t xml:space="preserve"> Preterists—not those who hold the orthodox position.</w:t>
      </w:r>
    </w:p>
  </w:footnote>
  <w:footnote w:id="4">
    <w:p w14:paraId="3A705CCB"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Emphasis his. Kenneth L. Gentry, </w:t>
      </w:r>
      <w:r w:rsidRPr="002162D3">
        <w:rPr>
          <w:i/>
          <w:iCs/>
          <w:szCs w:val="20"/>
        </w:rPr>
        <w:t>The Beast of Revelation</w:t>
      </w:r>
      <w:r w:rsidRPr="002162D3">
        <w:rPr>
          <w:szCs w:val="20"/>
        </w:rPr>
        <w:t xml:space="preserve"> (Tyler, TX: Dominion Press, 1994), 86.</w:t>
      </w:r>
    </w:p>
  </w:footnote>
  <w:footnote w:id="5">
    <w:p w14:paraId="03A4B33D"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R. C. Sproul, </w:t>
      </w:r>
      <w:r w:rsidRPr="002162D3">
        <w:rPr>
          <w:i/>
          <w:iCs/>
          <w:szCs w:val="20"/>
        </w:rPr>
        <w:t>The Last Days According to Jesus</w:t>
      </w:r>
      <w:r w:rsidRPr="002162D3">
        <w:rPr>
          <w:szCs w:val="20"/>
        </w:rPr>
        <w:t xml:space="preserve"> (Grand Rapids, MI: Baker, 1998), 140.</w:t>
      </w:r>
    </w:p>
  </w:footnote>
  <w:footnote w:id="6">
    <w:p w14:paraId="607CD651"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Zane Hodges, </w:t>
      </w:r>
      <w:r w:rsidRPr="002162D3">
        <w:rPr>
          <w:i/>
          <w:szCs w:val="20"/>
        </w:rPr>
        <w:t>Power to Make War</w:t>
      </w:r>
      <w:r w:rsidRPr="002162D3">
        <w:rPr>
          <w:szCs w:val="20"/>
        </w:rPr>
        <w:t xml:space="preserve"> (Dallas: </w:t>
      </w:r>
      <w:proofErr w:type="spellStart"/>
      <w:r w:rsidRPr="002162D3">
        <w:rPr>
          <w:szCs w:val="20"/>
        </w:rPr>
        <w:t>Redencion</w:t>
      </w:r>
      <w:proofErr w:type="spellEnd"/>
      <w:r w:rsidRPr="002162D3">
        <w:rPr>
          <w:szCs w:val="20"/>
        </w:rPr>
        <w:t xml:space="preserve"> Viva, 1995).</w:t>
      </w:r>
    </w:p>
  </w:footnote>
  <w:footnote w:id="7">
    <w:p w14:paraId="3036D33E"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David Chilton, </w:t>
      </w:r>
      <w:r w:rsidRPr="002162D3">
        <w:rPr>
          <w:i/>
          <w:szCs w:val="20"/>
        </w:rPr>
        <w:t>The Days of Vengeance: An Exposition of the Book of Revelation</w:t>
      </w:r>
      <w:r w:rsidRPr="002162D3">
        <w:rPr>
          <w:szCs w:val="20"/>
        </w:rPr>
        <w:t xml:space="preserve"> (Ft. Worth, TX: Dominion, 1987), 3-6.</w:t>
      </w:r>
    </w:p>
  </w:footnote>
  <w:footnote w:id="8">
    <w:p w14:paraId="4252C7FE"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5.30.3.</w:t>
      </w:r>
    </w:p>
  </w:footnote>
  <w:footnote w:id="9">
    <w:p w14:paraId="7CCF2646"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3.3.4.</w:t>
      </w:r>
    </w:p>
  </w:footnote>
  <w:footnote w:id="10">
    <w:p w14:paraId="31FC44D1"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2.22.5-6.</w:t>
      </w:r>
    </w:p>
  </w:footnote>
  <w:footnote w:id="11">
    <w:p w14:paraId="35E8C34B"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Kenneth Gentry, </w:t>
      </w:r>
      <w:r w:rsidRPr="002162D3">
        <w:rPr>
          <w:i/>
          <w:iCs/>
          <w:szCs w:val="20"/>
        </w:rPr>
        <w:t>Before Jerusalem Fell: Dating the Book of Revelation</w:t>
      </w:r>
      <w:r w:rsidRPr="002162D3">
        <w:rPr>
          <w:szCs w:val="20"/>
        </w:rPr>
        <w:t xml:space="preserve"> (Tyler, TX: Institute for Christian Economics, 1989), 64.</w:t>
      </w:r>
    </w:p>
  </w:footnote>
  <w:footnote w:id="12">
    <w:p w14:paraId="3D98E505"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Philip Schaff, </w:t>
      </w:r>
      <w:r w:rsidRPr="002162D3">
        <w:rPr>
          <w:i/>
          <w:iCs/>
          <w:szCs w:val="20"/>
        </w:rPr>
        <w:t>History of the Christian Church</w:t>
      </w:r>
      <w:r w:rsidRPr="002162D3">
        <w:rPr>
          <w:szCs w:val="20"/>
        </w:rPr>
        <w:t xml:space="preserve"> (New York: C. Scribner’s, 1907), 2:750-751.</w:t>
      </w:r>
    </w:p>
  </w:footnote>
  <w:footnote w:id="13">
    <w:p w14:paraId="2D96C350"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Hanegraaff writes that Irenaeus sheds “significant light on the historical accuracy of the New Testament.” Hank Hanegraaff, </w:t>
      </w:r>
      <w:r w:rsidRPr="002162D3">
        <w:rPr>
          <w:i/>
          <w:iCs/>
          <w:szCs w:val="20"/>
        </w:rPr>
        <w:t>Christianity in Crisis: 21st Century</w:t>
      </w:r>
      <w:r w:rsidRPr="002162D3">
        <w:rPr>
          <w:szCs w:val="20"/>
        </w:rPr>
        <w:t xml:space="preserve"> (Nashville, TN: Thomas Nelson, 2009), 337. See also Hank Hanegraaff, </w:t>
      </w:r>
      <w:r w:rsidRPr="002162D3">
        <w:rPr>
          <w:i/>
          <w:iCs/>
          <w:szCs w:val="20"/>
        </w:rPr>
        <w:t xml:space="preserve">Has God </w:t>
      </w:r>
      <w:proofErr w:type="gramStart"/>
      <w:r w:rsidRPr="002162D3">
        <w:rPr>
          <w:i/>
          <w:iCs/>
          <w:szCs w:val="20"/>
        </w:rPr>
        <w:t>Spoken?:</w:t>
      </w:r>
      <w:proofErr w:type="gramEnd"/>
      <w:r w:rsidRPr="002162D3">
        <w:rPr>
          <w:i/>
          <w:iCs/>
          <w:szCs w:val="20"/>
        </w:rPr>
        <w:t xml:space="preserve"> Memorable Proofs of the Bible’s Divine Inspiration</w:t>
      </w:r>
      <w:r w:rsidRPr="002162D3">
        <w:rPr>
          <w:szCs w:val="20"/>
        </w:rPr>
        <w:t xml:space="preserve"> (Nashville, TN: Thomas Nelson, 2011), 193-194. See also Hank Hanegraaff, “20. Is The New Testament Canon Authoritative or Authoritarian?” in </w:t>
      </w:r>
      <w:r w:rsidRPr="002162D3">
        <w:rPr>
          <w:i/>
          <w:iCs/>
          <w:szCs w:val="20"/>
        </w:rPr>
        <w:t>The Bible Answer Book</w:t>
      </w:r>
      <w:r w:rsidRPr="002162D3">
        <w:rPr>
          <w:szCs w:val="20"/>
        </w:rPr>
        <w:t xml:space="preserve">. Vol. 2. (Nashville, TN: Thomas Nelson, 2006), </w:t>
      </w:r>
    </w:p>
  </w:footnote>
  <w:footnote w:id="14">
    <w:p w14:paraId="0BCFAD61"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Hanegraaff follows Gentry in challenging the “credibility” of Irenaeus, because “in the same volume [Irenaeus] contends that Jesus was crucified when he was about fifty years old.” Hank Hanegraaff, </w:t>
      </w:r>
      <w:r w:rsidRPr="002162D3">
        <w:rPr>
          <w:i/>
          <w:iCs/>
          <w:szCs w:val="20"/>
        </w:rPr>
        <w:t>The Apocalypse Code</w:t>
      </w:r>
      <w:r w:rsidRPr="002162D3">
        <w:rPr>
          <w:szCs w:val="20"/>
        </w:rPr>
        <w:t xml:space="preserve"> (Nashville, TN: Thomas Nelson, 2007), 153.</w:t>
      </w:r>
    </w:p>
  </w:footnote>
  <w:footnote w:id="15">
    <w:p w14:paraId="393B297F" w14:textId="77777777" w:rsidR="00876F3B" w:rsidRPr="002162D3" w:rsidRDefault="00876F3B" w:rsidP="00CD2EDC">
      <w:pPr>
        <w:pStyle w:val="NoSpacing"/>
        <w:keepNext/>
        <w:keepLines/>
        <w:pageBreakBefore/>
        <w:jc w:val="left"/>
        <w:rPr>
          <w:szCs w:val="20"/>
        </w:rPr>
      </w:pPr>
      <w:r w:rsidRPr="002162D3">
        <w:rPr>
          <w:szCs w:val="20"/>
          <w:vertAlign w:val="superscript"/>
        </w:rPr>
        <w:footnoteRef/>
      </w:r>
      <w:r w:rsidRPr="002162D3">
        <w:rPr>
          <w:szCs w:val="20"/>
        </w:rPr>
        <w:t xml:space="preserve"> Victorinus writes, “When John said these things he was in the island of Patmos, condemned to the labor of the mines by Caesar Domitian. There, he saw the Apocalypse; and when grown old, he thought that he should at length receive his quittance by suffering, Domitian being killed, all his judgments were discharged. And John being dismissed from the mines, thus subsequently delivered the same Apocalypse which he had received from God.” Victorinus, </w:t>
      </w:r>
      <w:r w:rsidRPr="002162D3">
        <w:rPr>
          <w:i/>
          <w:szCs w:val="20"/>
        </w:rPr>
        <w:t>Apocalypse</w:t>
      </w:r>
      <w:r w:rsidRPr="002162D3">
        <w:rPr>
          <w:szCs w:val="20"/>
        </w:rPr>
        <w:t>, 10:11 [PL 5:333].</w:t>
      </w:r>
    </w:p>
  </w:footnote>
  <w:footnote w:id="16">
    <w:p w14:paraId="2DB3BD03"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Eusebius writes, “For [the name of the Antichrist] was seen, not long ago, but almost in our generation, </w:t>
      </w:r>
      <w:r w:rsidRPr="002162D3">
        <w:rPr>
          <w:i/>
          <w:szCs w:val="20"/>
        </w:rPr>
        <w:t>toward the end of the reign of Domitian</w:t>
      </w:r>
      <w:r w:rsidRPr="002162D3">
        <w:rPr>
          <w:szCs w:val="20"/>
        </w:rPr>
        <w:t xml:space="preserve">. He states these things concerning the Apocalypse in the work referred to.” Eusebius, </w:t>
      </w:r>
      <w:r w:rsidRPr="002162D3">
        <w:rPr>
          <w:i/>
          <w:szCs w:val="20"/>
        </w:rPr>
        <w:t>Ecclesiastical History</w:t>
      </w:r>
      <w:r w:rsidRPr="002162D3">
        <w:rPr>
          <w:szCs w:val="20"/>
        </w:rPr>
        <w:t>, 5.8.5-7.</w:t>
      </w:r>
    </w:p>
  </w:footnote>
  <w:footnote w:id="17">
    <w:p w14:paraId="6366E7B1"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Kenneth Gentry, </w:t>
      </w:r>
      <w:r w:rsidRPr="002162D3">
        <w:rPr>
          <w:i/>
          <w:iCs/>
          <w:szCs w:val="20"/>
        </w:rPr>
        <w:t>Before Jerusalem Fell: Dating the Book of Revelation</w:t>
      </w:r>
      <w:r w:rsidRPr="002162D3">
        <w:rPr>
          <w:szCs w:val="20"/>
        </w:rPr>
        <w:t xml:space="preserve"> (Tyler, TX: Institute for Christian Economics, 1989), 66.</w:t>
      </w:r>
    </w:p>
  </w:footnote>
  <w:footnote w:id="18">
    <w:p w14:paraId="7DD355B4"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Emphasis mine. Kenneth Gentry, </w:t>
      </w:r>
      <w:r w:rsidRPr="002162D3">
        <w:rPr>
          <w:i/>
          <w:iCs/>
          <w:szCs w:val="20"/>
        </w:rPr>
        <w:t>Before Jerusalem Fell: Dating the Book of Revelation</w:t>
      </w:r>
      <w:r w:rsidRPr="002162D3">
        <w:rPr>
          <w:szCs w:val="20"/>
        </w:rPr>
        <w:t xml:space="preserve"> (Tyler, TX: Institute for Christian Economics, 1989), 62-63.</w:t>
      </w:r>
    </w:p>
  </w:footnote>
  <w:footnote w:id="19">
    <w:p w14:paraId="2F8BC384" w14:textId="70566B23"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Eusebius, </w:t>
      </w:r>
      <w:r w:rsidR="005A6ECB" w:rsidRPr="002162D3">
        <w:rPr>
          <w:i/>
          <w:szCs w:val="20"/>
        </w:rPr>
        <w:t>Ecclesiastical</w:t>
      </w:r>
      <w:r w:rsidRPr="002162D3">
        <w:rPr>
          <w:i/>
          <w:szCs w:val="20"/>
        </w:rPr>
        <w:t xml:space="preserve"> History</w:t>
      </w:r>
      <w:r w:rsidRPr="002162D3">
        <w:rPr>
          <w:szCs w:val="20"/>
        </w:rPr>
        <w:t>, 3:39.</w:t>
      </w:r>
    </w:p>
  </w:footnote>
  <w:footnote w:id="20">
    <w:p w14:paraId="1FD872CD" w14:textId="2DD29C80"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Eusebius, </w:t>
      </w:r>
      <w:r w:rsidR="005A6ECB" w:rsidRPr="002162D3">
        <w:rPr>
          <w:i/>
          <w:szCs w:val="20"/>
        </w:rPr>
        <w:t>Ecclesiastical</w:t>
      </w:r>
      <w:r w:rsidRPr="002162D3">
        <w:rPr>
          <w:i/>
          <w:szCs w:val="20"/>
        </w:rPr>
        <w:t xml:space="preserve"> History</w:t>
      </w:r>
      <w:r w:rsidRPr="002162D3">
        <w:rPr>
          <w:szCs w:val="20"/>
        </w:rPr>
        <w:t>, 3:24:17-18; 5:8:5-7; 7:25:7-8, 14.</w:t>
      </w:r>
    </w:p>
  </w:footnote>
  <w:footnote w:id="21">
    <w:p w14:paraId="4DB8DFC3"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Mark Hitchcock, “A Defense of the Domitianic Date of the Book of Revelation.” Dissertation for Dallas Theological Seminary (</w:t>
      </w:r>
      <w:proofErr w:type="gramStart"/>
      <w:r w:rsidRPr="002162D3">
        <w:rPr>
          <w:szCs w:val="20"/>
        </w:rPr>
        <w:t>December,</w:t>
      </w:r>
      <w:proofErr w:type="gramEnd"/>
      <w:r w:rsidRPr="002162D3">
        <w:rPr>
          <w:szCs w:val="20"/>
        </w:rPr>
        <w:t xml:space="preserve"> 2005), 74.</w:t>
      </w:r>
    </w:p>
  </w:footnote>
  <w:footnote w:id="22">
    <w:p w14:paraId="486D2C02"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Polycarp, </w:t>
      </w:r>
      <w:r w:rsidRPr="002162D3">
        <w:rPr>
          <w:i/>
          <w:szCs w:val="20"/>
        </w:rPr>
        <w:t>Letter to the Philippians</w:t>
      </w:r>
      <w:r w:rsidRPr="002162D3">
        <w:rPr>
          <w:szCs w:val="20"/>
        </w:rPr>
        <w:t>, 11.3.</w:t>
      </w:r>
    </w:p>
  </w:footnote>
  <w:footnote w:id="23">
    <w:p w14:paraId="1F3E1F59"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Clement of Alexandria, </w:t>
      </w:r>
      <w:proofErr w:type="gramStart"/>
      <w:r w:rsidRPr="002162D3">
        <w:rPr>
          <w:i/>
          <w:szCs w:val="20"/>
        </w:rPr>
        <w:t>Who</w:t>
      </w:r>
      <w:proofErr w:type="gramEnd"/>
      <w:r w:rsidRPr="002162D3">
        <w:rPr>
          <w:i/>
          <w:szCs w:val="20"/>
        </w:rPr>
        <w:t xml:space="preserve"> is the Rich Man that Shall be Saved?</w:t>
      </w:r>
      <w:r w:rsidRPr="002162D3">
        <w:rPr>
          <w:szCs w:val="20"/>
        </w:rPr>
        <w:t xml:space="preserve"> Section 42.</w:t>
      </w:r>
    </w:p>
  </w:footnote>
  <w:footnote w:id="24">
    <w:p w14:paraId="2D454BE9"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Craig Blomberg, </w:t>
      </w:r>
      <w:r w:rsidRPr="002162D3">
        <w:rPr>
          <w:i/>
          <w:iCs/>
          <w:szCs w:val="20"/>
        </w:rPr>
        <w:t>From Pentecost to Patmos: an Introduction to Acts through Revelation</w:t>
      </w:r>
      <w:r w:rsidRPr="002162D3">
        <w:rPr>
          <w:szCs w:val="20"/>
        </w:rPr>
        <w:t xml:space="preserve"> (Nashville, TN: B &amp; H Academic, 2006), 510.</w:t>
      </w:r>
    </w:p>
  </w:footnote>
  <w:footnote w:id="25">
    <w:p w14:paraId="567DF46C" w14:textId="77777777" w:rsidR="00876F3B" w:rsidRPr="002162D3" w:rsidRDefault="00876F3B" w:rsidP="00CD2EDC">
      <w:pPr>
        <w:pStyle w:val="NoSpacing"/>
        <w:keepNext/>
        <w:keepLines/>
        <w:pageBreakBefore/>
        <w:jc w:val="left"/>
        <w:rPr>
          <w:szCs w:val="20"/>
        </w:rPr>
      </w:pPr>
      <w:r w:rsidRPr="002162D3">
        <w:rPr>
          <w:szCs w:val="20"/>
          <w:vertAlign w:val="superscript"/>
        </w:rPr>
        <w:footnoteRef/>
      </w:r>
      <w:r w:rsidRPr="002162D3">
        <w:rPr>
          <w:szCs w:val="20"/>
        </w:rPr>
        <w:t xml:space="preserve"> Alan Johnson, </w:t>
      </w:r>
      <w:r w:rsidRPr="002162D3">
        <w:rPr>
          <w:i/>
          <w:szCs w:val="20"/>
        </w:rPr>
        <w:t>Revelation</w:t>
      </w:r>
      <w:r w:rsidRPr="002162D3">
        <w:rPr>
          <w:szCs w:val="20"/>
        </w:rPr>
        <w:t xml:space="preserve">. In F. E. Gaebelein (Ed.), </w:t>
      </w:r>
      <w:r w:rsidRPr="002162D3">
        <w:rPr>
          <w:i/>
          <w:szCs w:val="20"/>
        </w:rPr>
        <w:t>The Expositor’s Bible Commentary, Volume 12: Hebrews through Revelation</w:t>
      </w:r>
      <w:r w:rsidRPr="002162D3">
        <w:rPr>
          <w:szCs w:val="20"/>
        </w:rPr>
        <w:t xml:space="preserve"> (Grand Rapids, MI: Zondervan Publishing House, 1981), 409.</w:t>
      </w:r>
    </w:p>
  </w:footnote>
  <w:footnote w:id="26">
    <w:p w14:paraId="3916B7B7"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w:t>
      </w:r>
      <w:r w:rsidRPr="002162D3">
        <w:rPr>
          <w:i/>
          <w:szCs w:val="20"/>
        </w:rPr>
        <w:t>Didache</w:t>
      </w:r>
      <w:r w:rsidRPr="002162D3">
        <w:rPr>
          <w:szCs w:val="20"/>
        </w:rPr>
        <w:t>, 16:3.</w:t>
      </w:r>
    </w:p>
  </w:footnote>
  <w:footnote w:id="27">
    <w:p w14:paraId="3792B136"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w:t>
      </w:r>
      <w:r w:rsidRPr="002162D3">
        <w:rPr>
          <w:i/>
          <w:szCs w:val="20"/>
        </w:rPr>
        <w:t>Didache</w:t>
      </w:r>
      <w:r w:rsidRPr="002162D3">
        <w:rPr>
          <w:szCs w:val="20"/>
        </w:rPr>
        <w:t>, 16:3.</w:t>
      </w:r>
    </w:p>
  </w:footnote>
  <w:footnote w:id="28">
    <w:p w14:paraId="11A53445"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w:t>
      </w:r>
      <w:r w:rsidRPr="002162D3">
        <w:rPr>
          <w:i/>
          <w:szCs w:val="20"/>
        </w:rPr>
        <w:t>Didache</w:t>
      </w:r>
      <w:r w:rsidRPr="002162D3">
        <w:rPr>
          <w:szCs w:val="20"/>
        </w:rPr>
        <w:t>, 16:4.</w:t>
      </w:r>
    </w:p>
  </w:footnote>
  <w:footnote w:id="29">
    <w:p w14:paraId="09D2F1C5"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w:t>
      </w:r>
      <w:r w:rsidRPr="002162D3">
        <w:rPr>
          <w:i/>
          <w:szCs w:val="20"/>
        </w:rPr>
        <w:t>Didache</w:t>
      </w:r>
      <w:r w:rsidRPr="002162D3">
        <w:rPr>
          <w:szCs w:val="20"/>
        </w:rPr>
        <w:t xml:space="preserve">, 16:6-7. Varner writes, “From the earliest commentators on the </w:t>
      </w:r>
      <w:r w:rsidRPr="002162D3">
        <w:rPr>
          <w:i/>
          <w:szCs w:val="20"/>
        </w:rPr>
        <w:t>Didache</w:t>
      </w:r>
      <w:r w:rsidRPr="002162D3">
        <w:rPr>
          <w:szCs w:val="20"/>
        </w:rPr>
        <w:t xml:space="preserve"> down to current times, this expression of limited resurrection has been taken by many as indicating the chiliasm, or </w:t>
      </w:r>
      <w:proofErr w:type="spellStart"/>
      <w:r w:rsidRPr="002162D3">
        <w:rPr>
          <w:szCs w:val="20"/>
        </w:rPr>
        <w:t>millennarianism</w:t>
      </w:r>
      <w:proofErr w:type="spellEnd"/>
      <w:r w:rsidRPr="002162D3">
        <w:rPr>
          <w:szCs w:val="20"/>
        </w:rPr>
        <w:t xml:space="preserve">, of the author.” Though he adds we should avoid dogmatism on this issue, because the book ends so abruptly. William Varner, “The </w:t>
      </w:r>
      <w:r w:rsidRPr="002162D3">
        <w:rPr>
          <w:i/>
          <w:szCs w:val="20"/>
        </w:rPr>
        <w:t>Didache</w:t>
      </w:r>
      <w:r w:rsidRPr="002162D3">
        <w:rPr>
          <w:szCs w:val="20"/>
        </w:rPr>
        <w:t xml:space="preserve"> ‘Apocalypse’ and Matthew 24.” </w:t>
      </w:r>
      <w:r w:rsidRPr="002162D3">
        <w:rPr>
          <w:i/>
          <w:szCs w:val="20"/>
        </w:rPr>
        <w:t>Bibliotheca Sacra</w:t>
      </w:r>
      <w:r w:rsidRPr="002162D3">
        <w:rPr>
          <w:szCs w:val="20"/>
        </w:rPr>
        <w:t>. 165 (July-</w:t>
      </w:r>
      <w:proofErr w:type="gramStart"/>
      <w:r w:rsidRPr="002162D3">
        <w:rPr>
          <w:szCs w:val="20"/>
        </w:rPr>
        <w:t>September,</w:t>
      </w:r>
      <w:proofErr w:type="gramEnd"/>
      <w:r w:rsidRPr="002162D3">
        <w:rPr>
          <w:szCs w:val="20"/>
        </w:rPr>
        <w:t xml:space="preserve"> 2008), 318.</w:t>
      </w:r>
    </w:p>
  </w:footnote>
  <w:footnote w:id="30">
    <w:p w14:paraId="7C91B69B"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Eusebius, </w:t>
      </w:r>
      <w:r w:rsidRPr="002162D3">
        <w:rPr>
          <w:i/>
          <w:szCs w:val="20"/>
        </w:rPr>
        <w:t>Church History</w:t>
      </w:r>
      <w:r w:rsidRPr="002162D3">
        <w:rPr>
          <w:szCs w:val="20"/>
        </w:rPr>
        <w:t>, 3.39.12.</w:t>
      </w:r>
    </w:p>
  </w:footnote>
  <w:footnote w:id="31">
    <w:p w14:paraId="7D17404E"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w:t>
      </w:r>
      <w:r w:rsidRPr="002162D3">
        <w:rPr>
          <w:i/>
          <w:szCs w:val="20"/>
        </w:rPr>
        <w:t>The Epistle of Barnabas</w:t>
      </w:r>
      <w:r w:rsidRPr="002162D3">
        <w:rPr>
          <w:szCs w:val="20"/>
        </w:rPr>
        <w:t>, 16:9.</w:t>
      </w:r>
    </w:p>
  </w:footnote>
  <w:footnote w:id="32">
    <w:p w14:paraId="000AF50A"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w:t>
      </w:r>
      <w:r w:rsidRPr="002162D3">
        <w:rPr>
          <w:i/>
          <w:szCs w:val="20"/>
        </w:rPr>
        <w:t>The Epistle of Barnabas</w:t>
      </w:r>
      <w:r w:rsidRPr="002162D3">
        <w:rPr>
          <w:szCs w:val="20"/>
        </w:rPr>
        <w:t>, 4:5.</w:t>
      </w:r>
    </w:p>
  </w:footnote>
  <w:footnote w:id="33">
    <w:p w14:paraId="3F67281F"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w:t>
      </w:r>
      <w:r w:rsidRPr="002162D3">
        <w:rPr>
          <w:i/>
          <w:szCs w:val="20"/>
        </w:rPr>
        <w:t>Shepherd of Hermas</w:t>
      </w:r>
      <w:r w:rsidRPr="002162D3">
        <w:rPr>
          <w:szCs w:val="20"/>
        </w:rPr>
        <w:t>, Second Vision, Chapter Two.</w:t>
      </w:r>
    </w:p>
  </w:footnote>
  <w:footnote w:id="34">
    <w:p w14:paraId="737AFC89"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Justin Martyr, </w:t>
      </w:r>
      <w:r w:rsidRPr="002162D3">
        <w:rPr>
          <w:i/>
          <w:szCs w:val="20"/>
        </w:rPr>
        <w:t>Dialogue with Trypho</w:t>
      </w:r>
      <w:r w:rsidRPr="002162D3">
        <w:rPr>
          <w:szCs w:val="20"/>
        </w:rPr>
        <w:t>, Chapter 110.</w:t>
      </w:r>
    </w:p>
  </w:footnote>
  <w:footnote w:id="35">
    <w:p w14:paraId="503701FD"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Justin Martyr, </w:t>
      </w:r>
      <w:r w:rsidRPr="002162D3">
        <w:rPr>
          <w:i/>
          <w:szCs w:val="20"/>
        </w:rPr>
        <w:t>Dialogue with Trypho</w:t>
      </w:r>
      <w:r w:rsidRPr="002162D3">
        <w:rPr>
          <w:szCs w:val="20"/>
        </w:rPr>
        <w:t>, Chapter 81.</w:t>
      </w:r>
    </w:p>
  </w:footnote>
  <w:footnote w:id="36">
    <w:p w14:paraId="6954283D"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5.30:1.</w:t>
      </w:r>
    </w:p>
  </w:footnote>
  <w:footnote w:id="37">
    <w:p w14:paraId="5C98AA7D"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5.30:3.</w:t>
      </w:r>
    </w:p>
  </w:footnote>
  <w:footnote w:id="38">
    <w:p w14:paraId="67D160B0"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5.30:3.</w:t>
      </w:r>
    </w:p>
  </w:footnote>
  <w:footnote w:id="39">
    <w:p w14:paraId="667733A0"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5.30:4.</w:t>
      </w:r>
    </w:p>
  </w:footnote>
  <w:footnote w:id="40">
    <w:p w14:paraId="06046C5A"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5.34:2.</w:t>
      </w:r>
    </w:p>
  </w:footnote>
  <w:footnote w:id="41">
    <w:p w14:paraId="72BD6965"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Irenaeus, </w:t>
      </w:r>
      <w:r w:rsidRPr="002162D3">
        <w:rPr>
          <w:i/>
          <w:szCs w:val="20"/>
        </w:rPr>
        <w:t>Against Heresies</w:t>
      </w:r>
      <w:r w:rsidRPr="002162D3">
        <w:rPr>
          <w:szCs w:val="20"/>
        </w:rPr>
        <w:t>, 5.35:1.</w:t>
      </w:r>
    </w:p>
  </w:footnote>
  <w:footnote w:id="42">
    <w:p w14:paraId="67814A70"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Larry V. Crutchfield, “The Apostle John and Asia Minor as a Source of Premillennialism in the Early Church Fathers.” </w:t>
      </w:r>
      <w:r w:rsidRPr="002162D3">
        <w:rPr>
          <w:i/>
          <w:szCs w:val="20"/>
        </w:rPr>
        <w:t>JETS</w:t>
      </w:r>
      <w:r w:rsidRPr="002162D3">
        <w:rPr>
          <w:szCs w:val="20"/>
        </w:rPr>
        <w:t xml:space="preserve"> 31/4 (</w:t>
      </w:r>
      <w:proofErr w:type="gramStart"/>
      <w:r w:rsidRPr="002162D3">
        <w:rPr>
          <w:szCs w:val="20"/>
        </w:rPr>
        <w:t>December,</w:t>
      </w:r>
      <w:proofErr w:type="gramEnd"/>
      <w:r w:rsidRPr="002162D3">
        <w:rPr>
          <w:szCs w:val="20"/>
        </w:rPr>
        <w:t xml:space="preserve"> 1988), 427.</w:t>
      </w:r>
    </w:p>
  </w:footnote>
  <w:footnote w:id="43">
    <w:p w14:paraId="6611A98A"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Commodianus, </w:t>
      </w:r>
      <w:r w:rsidRPr="002162D3">
        <w:rPr>
          <w:i/>
          <w:szCs w:val="20"/>
        </w:rPr>
        <w:t>The Instructions of Commodianus: In Favor of Christian Discipline, Against the Gods of the Heathen</w:t>
      </w:r>
      <w:r w:rsidRPr="002162D3">
        <w:rPr>
          <w:szCs w:val="20"/>
        </w:rPr>
        <w:t>, “The Name of the Man of Gaza.” 80.</w:t>
      </w:r>
    </w:p>
  </w:footnote>
  <w:footnote w:id="44">
    <w:p w14:paraId="4EA200D4"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Lactanius, </w:t>
      </w:r>
      <w:r w:rsidRPr="002162D3">
        <w:rPr>
          <w:i/>
          <w:szCs w:val="20"/>
        </w:rPr>
        <w:t>The Divine Institutes</w:t>
      </w:r>
      <w:r w:rsidRPr="002162D3">
        <w:rPr>
          <w:szCs w:val="20"/>
        </w:rPr>
        <w:t>, 72 “Of Christ Descending from Heaven to the General Judgment, and of the Millennial Reign.”</w:t>
      </w:r>
    </w:p>
  </w:footnote>
  <w:footnote w:id="45">
    <w:p w14:paraId="38069BDC"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Kenneth L. Gentry, </w:t>
      </w:r>
      <w:r w:rsidRPr="002162D3">
        <w:rPr>
          <w:i/>
          <w:iCs/>
          <w:szCs w:val="20"/>
        </w:rPr>
        <w:t>The Book of Revelation Made Easy: You Can Understand Bible Prophecy</w:t>
      </w:r>
      <w:r w:rsidRPr="002162D3">
        <w:rPr>
          <w:szCs w:val="20"/>
        </w:rPr>
        <w:t xml:space="preserve"> (Powder Springs, GA: American Vision, 2008), 116-117.</w:t>
      </w:r>
    </w:p>
  </w:footnote>
  <w:footnote w:id="46">
    <w:p w14:paraId="70960E67"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Kenneth L. Gentry, </w:t>
      </w:r>
      <w:r w:rsidRPr="002162D3">
        <w:rPr>
          <w:i/>
          <w:iCs/>
          <w:szCs w:val="20"/>
        </w:rPr>
        <w:t>The Book of Revelation Made Easy: You Can Understand Bible Prophecy</w:t>
      </w:r>
      <w:r w:rsidRPr="002162D3">
        <w:rPr>
          <w:szCs w:val="20"/>
        </w:rPr>
        <w:t xml:space="preserve"> (Powder Springs, GA: American Vision, 2008), 118.</w:t>
      </w:r>
    </w:p>
  </w:footnote>
  <w:footnote w:id="47">
    <w:p w14:paraId="47B36A32"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Paul N. Benware, </w:t>
      </w:r>
      <w:r w:rsidRPr="002162D3">
        <w:rPr>
          <w:i/>
          <w:iCs/>
          <w:szCs w:val="20"/>
        </w:rPr>
        <w:t>Understanding End Times Prophecy</w:t>
      </w:r>
      <w:r w:rsidRPr="002162D3">
        <w:rPr>
          <w:szCs w:val="20"/>
        </w:rPr>
        <w:t xml:space="preserve"> (Moody: Chicago, 2006), 172.</w:t>
      </w:r>
    </w:p>
  </w:footnote>
  <w:footnote w:id="48">
    <w:p w14:paraId="48FDE5D7" w14:textId="77777777" w:rsidR="00876F3B" w:rsidRPr="002162D3" w:rsidRDefault="00876F3B" w:rsidP="00CD2EDC">
      <w:pPr>
        <w:pStyle w:val="NoSpacing"/>
        <w:keepNext/>
        <w:keepLines/>
        <w:pageBreakBefore/>
        <w:jc w:val="left"/>
        <w:rPr>
          <w:szCs w:val="20"/>
        </w:rPr>
      </w:pPr>
      <w:r w:rsidRPr="002162D3">
        <w:rPr>
          <w:szCs w:val="20"/>
          <w:vertAlign w:val="superscript"/>
        </w:rPr>
        <w:footnoteRef/>
      </w:r>
      <w:r w:rsidRPr="002162D3">
        <w:rPr>
          <w:szCs w:val="20"/>
        </w:rPr>
        <w:t xml:space="preserve"> Kenneth Gentry, “A Preterist View of Revelation.” In S. N. Gundry &amp; C. M. Pate (Eds.), </w:t>
      </w:r>
      <w:r w:rsidRPr="002162D3">
        <w:rPr>
          <w:i/>
          <w:szCs w:val="20"/>
        </w:rPr>
        <w:t>Four Views on the Book of Revelation</w:t>
      </w:r>
      <w:r w:rsidRPr="002162D3">
        <w:rPr>
          <w:szCs w:val="20"/>
        </w:rPr>
        <w:t xml:space="preserve"> (Grand Rapids, MI: Zondervan, 1998), 48.</w:t>
      </w:r>
    </w:p>
  </w:footnote>
  <w:footnote w:id="49">
    <w:p w14:paraId="4F67559A" w14:textId="77777777" w:rsidR="00876F3B" w:rsidRPr="002162D3" w:rsidRDefault="00876F3B" w:rsidP="00CD2EDC">
      <w:pPr>
        <w:pStyle w:val="NoSpacing"/>
        <w:keepNext/>
        <w:keepLines/>
        <w:pageBreakBefore/>
        <w:jc w:val="left"/>
        <w:rPr>
          <w:szCs w:val="20"/>
        </w:rPr>
      </w:pPr>
      <w:r w:rsidRPr="002162D3">
        <w:rPr>
          <w:szCs w:val="20"/>
          <w:vertAlign w:val="superscript"/>
        </w:rPr>
        <w:footnoteRef/>
      </w:r>
      <w:r w:rsidRPr="002162D3">
        <w:rPr>
          <w:szCs w:val="20"/>
        </w:rPr>
        <w:t xml:space="preserve"> Gentry writes, “We should probably translate the Greek word </w:t>
      </w:r>
      <w:proofErr w:type="spellStart"/>
      <w:r w:rsidRPr="002162D3">
        <w:rPr>
          <w:i/>
          <w:szCs w:val="20"/>
        </w:rPr>
        <w:t>h</w:t>
      </w:r>
      <w:r w:rsidRPr="002162D3">
        <w:rPr>
          <w:rFonts w:cs="Cambria"/>
          <w:i/>
          <w:szCs w:val="20"/>
        </w:rPr>
        <w:t>ē</w:t>
      </w:r>
      <w:proofErr w:type="spellEnd"/>
      <w:r w:rsidRPr="002162D3">
        <w:rPr>
          <w:i/>
          <w:szCs w:val="20"/>
        </w:rPr>
        <w:t xml:space="preserve"> </w:t>
      </w:r>
      <w:proofErr w:type="spellStart"/>
      <w:r w:rsidRPr="002162D3">
        <w:rPr>
          <w:i/>
          <w:szCs w:val="20"/>
        </w:rPr>
        <w:t>g</w:t>
      </w:r>
      <w:r w:rsidRPr="002162D3">
        <w:rPr>
          <w:rFonts w:cs="Cambria"/>
          <w:i/>
          <w:szCs w:val="20"/>
        </w:rPr>
        <w:t>ē</w:t>
      </w:r>
      <w:proofErr w:type="spellEnd"/>
      <w:r w:rsidRPr="002162D3">
        <w:rPr>
          <w:szCs w:val="20"/>
        </w:rPr>
        <w:t xml:space="preserve"> as ‘the land’ rather than ‘the earth’ in the great majority of the cases where this word occurs in Revelation.” Kenneth Gentry, “A Preterist View of Revelation.” In S. N. Gundry &amp; C. M. Pate (Eds.), </w:t>
      </w:r>
      <w:r w:rsidRPr="002162D3">
        <w:rPr>
          <w:i/>
          <w:szCs w:val="20"/>
        </w:rPr>
        <w:t>Four Views on the Book of Revelation</w:t>
      </w:r>
      <w:r w:rsidRPr="002162D3">
        <w:rPr>
          <w:szCs w:val="20"/>
        </w:rPr>
        <w:t xml:space="preserve"> (Grand Rapids, MI: Zondervan, 1998), 48.</w:t>
      </w:r>
    </w:p>
  </w:footnote>
  <w:footnote w:id="50">
    <w:p w14:paraId="4A4BCF62"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David Chilton, </w:t>
      </w:r>
      <w:r w:rsidRPr="002162D3">
        <w:rPr>
          <w:i/>
          <w:szCs w:val="20"/>
        </w:rPr>
        <w:t>The Days of Vengeance: An Exposition of the Book of Revelation</w:t>
      </w:r>
      <w:r w:rsidRPr="002162D3">
        <w:rPr>
          <w:szCs w:val="20"/>
        </w:rPr>
        <w:t xml:space="preserve"> (Ft. Worth, TX: Dominion, 1987), 63, 66.</w:t>
      </w:r>
    </w:p>
  </w:footnote>
  <w:footnote w:id="51">
    <w:p w14:paraId="595FC5A8" w14:textId="77777777" w:rsidR="00876F3B" w:rsidRPr="002162D3" w:rsidRDefault="00876F3B" w:rsidP="00CD2EDC">
      <w:pPr>
        <w:pStyle w:val="NoSpacing"/>
        <w:keepNext/>
        <w:keepLines/>
        <w:pageBreakBefore/>
        <w:jc w:val="left"/>
        <w:rPr>
          <w:szCs w:val="20"/>
        </w:rPr>
      </w:pPr>
      <w:r w:rsidRPr="002162D3">
        <w:rPr>
          <w:rStyle w:val="FootnoteReference"/>
          <w:szCs w:val="20"/>
        </w:rPr>
        <w:footnoteRef/>
      </w:r>
      <w:r w:rsidRPr="002162D3">
        <w:rPr>
          <w:szCs w:val="20"/>
        </w:rPr>
        <w:t xml:space="preserve"> Hank Hanegraaff, </w:t>
      </w:r>
      <w:r w:rsidRPr="002162D3">
        <w:rPr>
          <w:i/>
          <w:iCs/>
          <w:szCs w:val="20"/>
        </w:rPr>
        <w:t>The Apocalypse Code</w:t>
      </w:r>
      <w:r w:rsidRPr="002162D3">
        <w:rPr>
          <w:szCs w:val="20"/>
        </w:rPr>
        <w:t xml:space="preserve"> (Nashville, TN: Thomas Nelson, 2007), 153.</w:t>
      </w:r>
    </w:p>
  </w:footnote>
  <w:footnote w:id="52">
    <w:p w14:paraId="4A2E9CD1"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J. Stuart Russell, </w:t>
      </w:r>
      <w:r w:rsidRPr="002162D3">
        <w:rPr>
          <w:rFonts w:ascii="Garamond" w:hAnsi="Garamond"/>
          <w:i/>
          <w:sz w:val="20"/>
          <w:szCs w:val="20"/>
        </w:rPr>
        <w:t>The Parousia</w:t>
      </w:r>
      <w:r w:rsidRPr="002162D3">
        <w:rPr>
          <w:rFonts w:ascii="Garamond" w:hAnsi="Garamond"/>
          <w:sz w:val="20"/>
          <w:szCs w:val="20"/>
        </w:rPr>
        <w:t xml:space="preserve"> (Grand Rapids, MI: Baker Book House: [1887] 1993), 366. Cited in David Chilton, </w:t>
      </w:r>
      <w:r w:rsidRPr="002162D3">
        <w:rPr>
          <w:rFonts w:ascii="Garamond" w:hAnsi="Garamond"/>
          <w:i/>
          <w:sz w:val="20"/>
          <w:szCs w:val="20"/>
        </w:rPr>
        <w:t>The Days of Vengeance: An Exposition of the Book of Revelation</w:t>
      </w:r>
      <w:r w:rsidRPr="002162D3">
        <w:rPr>
          <w:rFonts w:ascii="Garamond" w:hAnsi="Garamond"/>
          <w:sz w:val="20"/>
          <w:szCs w:val="20"/>
        </w:rPr>
        <w:t xml:space="preserve"> (Ft. Worth, TX: Dominion, 1987), 41.</w:t>
      </w:r>
    </w:p>
  </w:footnote>
  <w:footnote w:id="53">
    <w:p w14:paraId="7942CF25"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For example, see Bertrand Russell, </w:t>
      </w:r>
      <w:r w:rsidRPr="002162D3">
        <w:rPr>
          <w:rFonts w:ascii="Garamond" w:hAnsi="Garamond"/>
          <w:i/>
          <w:sz w:val="20"/>
          <w:szCs w:val="20"/>
        </w:rPr>
        <w:t>Why I Am Not a Christian: and Other Essays on Religion and Related Subjects</w:t>
      </w:r>
      <w:r w:rsidRPr="002162D3">
        <w:rPr>
          <w:rFonts w:ascii="Garamond" w:hAnsi="Garamond"/>
          <w:sz w:val="20"/>
          <w:szCs w:val="20"/>
        </w:rPr>
        <w:t xml:space="preserve"> (New York: Simon &amp; Schuster, 1967), 16. Tim Callahan, </w:t>
      </w:r>
      <w:r w:rsidRPr="002162D3">
        <w:rPr>
          <w:rFonts w:ascii="Garamond" w:hAnsi="Garamond"/>
          <w:i/>
          <w:iCs/>
          <w:sz w:val="20"/>
          <w:szCs w:val="20"/>
        </w:rPr>
        <w:t>Bible Prophecy: Failure or Fulfillment?</w:t>
      </w:r>
      <w:r w:rsidRPr="002162D3">
        <w:rPr>
          <w:rFonts w:ascii="Garamond" w:hAnsi="Garamond"/>
          <w:sz w:val="20"/>
          <w:szCs w:val="20"/>
        </w:rPr>
        <w:t xml:space="preserve"> (Altadena, CA: Millennium, 1997), 185-189. Gerald Larue, “The Bible and the Prophets of Doom,” </w:t>
      </w:r>
      <w:r w:rsidRPr="002162D3">
        <w:rPr>
          <w:rFonts w:ascii="Garamond" w:hAnsi="Garamond"/>
          <w:i/>
          <w:sz w:val="20"/>
          <w:szCs w:val="20"/>
        </w:rPr>
        <w:t>Skeptical Inquirer</w:t>
      </w:r>
      <w:r w:rsidRPr="002162D3">
        <w:rPr>
          <w:rFonts w:ascii="Garamond" w:hAnsi="Garamond"/>
          <w:sz w:val="20"/>
          <w:szCs w:val="20"/>
        </w:rPr>
        <w:t xml:space="preserve"> (January/</w:t>
      </w:r>
      <w:proofErr w:type="gramStart"/>
      <w:r w:rsidRPr="002162D3">
        <w:rPr>
          <w:rFonts w:ascii="Garamond" w:hAnsi="Garamond"/>
          <w:sz w:val="20"/>
          <w:szCs w:val="20"/>
        </w:rPr>
        <w:t>February,</w:t>
      </w:r>
      <w:proofErr w:type="gramEnd"/>
      <w:r w:rsidRPr="002162D3">
        <w:rPr>
          <w:rFonts w:ascii="Garamond" w:hAnsi="Garamond"/>
          <w:sz w:val="20"/>
          <w:szCs w:val="20"/>
        </w:rPr>
        <w:t xml:space="preserve"> 1999), 29.</w:t>
      </w:r>
    </w:p>
  </w:footnote>
  <w:footnote w:id="54">
    <w:p w14:paraId="1311BAC0"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C.S. Lewis, </w:t>
      </w:r>
      <w:r w:rsidRPr="002162D3">
        <w:rPr>
          <w:rFonts w:ascii="Garamond" w:hAnsi="Garamond"/>
          <w:i/>
          <w:iCs/>
          <w:sz w:val="20"/>
          <w:szCs w:val="20"/>
        </w:rPr>
        <w:t>The World’s Last Night and Other Essays</w:t>
      </w:r>
      <w:r w:rsidRPr="002162D3">
        <w:rPr>
          <w:rFonts w:ascii="Garamond" w:hAnsi="Garamond"/>
          <w:sz w:val="20"/>
          <w:szCs w:val="20"/>
        </w:rPr>
        <w:t xml:space="preserve"> (New York: Harcourt Brace &amp; Company, 1973), 97-98.</w:t>
      </w:r>
    </w:p>
  </w:footnote>
  <w:footnote w:id="55">
    <w:p w14:paraId="2A36186A"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46.</w:t>
      </w:r>
    </w:p>
  </w:footnote>
  <w:footnote w:id="56">
    <w:p w14:paraId="78536AFA"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This might refer to the fact that when the temple burned (AD 70), a bright star appeared over the Jewish Temple (see Josephus, </w:t>
      </w:r>
      <w:r w:rsidRPr="002162D3">
        <w:rPr>
          <w:rFonts w:ascii="Garamond" w:hAnsi="Garamond"/>
          <w:i/>
          <w:sz w:val="20"/>
          <w:szCs w:val="20"/>
        </w:rPr>
        <w:t>Jewish War</w:t>
      </w:r>
      <w:r w:rsidRPr="002162D3">
        <w:rPr>
          <w:rFonts w:ascii="Garamond" w:hAnsi="Garamond"/>
          <w:sz w:val="20"/>
          <w:szCs w:val="20"/>
        </w:rPr>
        <w:t>, 6.5.1-3).</w:t>
      </w:r>
    </w:p>
  </w:footnote>
  <w:footnote w:id="57">
    <w:p w14:paraId="333BFC2C" w14:textId="77777777" w:rsidR="00876F3B" w:rsidRPr="002162D3" w:rsidRDefault="00876F3B" w:rsidP="00CD2EDC">
      <w:pPr>
        <w:pStyle w:val="NoSpacing"/>
        <w:keepNext/>
        <w:keepLines/>
        <w:pageBreakBefore/>
        <w:jc w:val="left"/>
        <w:rPr>
          <w:szCs w:val="20"/>
        </w:rPr>
      </w:pPr>
      <w:r w:rsidRPr="002162D3">
        <w:rPr>
          <w:szCs w:val="20"/>
          <w:vertAlign w:val="superscript"/>
        </w:rPr>
        <w:footnoteRef/>
      </w:r>
      <w:r w:rsidRPr="002162D3">
        <w:rPr>
          <w:szCs w:val="20"/>
        </w:rPr>
        <w:t xml:space="preserve"> Darrell Bock, </w:t>
      </w:r>
      <w:r w:rsidRPr="002162D3">
        <w:rPr>
          <w:i/>
          <w:szCs w:val="20"/>
        </w:rPr>
        <w:t>Luke: 9:51—24:53</w:t>
      </w:r>
      <w:r w:rsidRPr="002162D3">
        <w:rPr>
          <w:szCs w:val="20"/>
        </w:rPr>
        <w:t>. Vol. 2. (Grand Rapids, MI: Baker Academic, 1996), 1675.</w:t>
      </w:r>
    </w:p>
  </w:footnote>
  <w:footnote w:id="58">
    <w:p w14:paraId="1F45E77F" w14:textId="77777777" w:rsidR="00876F3B" w:rsidRPr="002162D3" w:rsidRDefault="00876F3B" w:rsidP="00CD2EDC">
      <w:pPr>
        <w:pStyle w:val="NoSpacing"/>
        <w:keepNext/>
        <w:keepLines/>
        <w:pageBreakBefore/>
        <w:jc w:val="left"/>
        <w:rPr>
          <w:szCs w:val="20"/>
        </w:rPr>
      </w:pPr>
      <w:r w:rsidRPr="002162D3">
        <w:rPr>
          <w:szCs w:val="20"/>
          <w:vertAlign w:val="superscript"/>
        </w:rPr>
        <w:footnoteRef/>
      </w:r>
      <w:r w:rsidRPr="002162D3">
        <w:rPr>
          <w:szCs w:val="20"/>
        </w:rPr>
        <w:t xml:space="preserve"> Darrell Bock, </w:t>
      </w:r>
      <w:r w:rsidRPr="002162D3">
        <w:rPr>
          <w:i/>
          <w:szCs w:val="20"/>
        </w:rPr>
        <w:t>Luke: 9:51—24:53</w:t>
      </w:r>
      <w:r w:rsidRPr="002162D3">
        <w:rPr>
          <w:szCs w:val="20"/>
        </w:rPr>
        <w:t xml:space="preserve"> (Grand Rapids, MI: Baker Academic, 1996</w:t>
      </w:r>
      <w:proofErr w:type="gramStart"/>
      <w:r w:rsidRPr="002162D3">
        <w:rPr>
          <w:szCs w:val="20"/>
        </w:rPr>
        <w:t>),.</w:t>
      </w:r>
      <w:proofErr w:type="gramEnd"/>
      <w:r w:rsidRPr="002162D3">
        <w:rPr>
          <w:szCs w:val="20"/>
        </w:rPr>
        <w:t xml:space="preserve"> Vol. 2., 1668.</w:t>
      </w:r>
    </w:p>
  </w:footnote>
  <w:footnote w:id="59">
    <w:p w14:paraId="57CEBFDD"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Fonts w:ascii="Garamond" w:hAnsi="Garamond"/>
          <w:sz w:val="20"/>
          <w:szCs w:val="20"/>
          <w:vertAlign w:val="superscript"/>
        </w:rPr>
        <w:footnoteRef/>
      </w:r>
      <w:r w:rsidRPr="002162D3">
        <w:rPr>
          <w:rFonts w:ascii="Garamond" w:hAnsi="Garamond"/>
          <w:sz w:val="20"/>
          <w:szCs w:val="20"/>
        </w:rPr>
        <w:t xml:space="preserve"> D. L. Turner, </w:t>
      </w:r>
      <w:r w:rsidRPr="002162D3">
        <w:rPr>
          <w:rFonts w:ascii="Garamond" w:hAnsi="Garamond"/>
          <w:i/>
          <w:sz w:val="20"/>
          <w:szCs w:val="20"/>
        </w:rPr>
        <w:t>Matthew</w:t>
      </w:r>
      <w:r w:rsidRPr="002162D3">
        <w:rPr>
          <w:rFonts w:ascii="Garamond" w:hAnsi="Garamond"/>
          <w:sz w:val="20"/>
          <w:szCs w:val="20"/>
        </w:rPr>
        <w:t xml:space="preserve"> (Grand Rapids, MI: Baker Academic, 2008), 566.</w:t>
      </w:r>
    </w:p>
  </w:footnote>
  <w:footnote w:id="60">
    <w:p w14:paraId="31A35B20"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Stanley Toussaint, “A Critique of the Preterist View of the Olivet Discourse” </w:t>
      </w:r>
      <w:r w:rsidRPr="002162D3">
        <w:rPr>
          <w:rFonts w:ascii="Garamond" w:hAnsi="Garamond"/>
          <w:i/>
          <w:sz w:val="20"/>
          <w:szCs w:val="20"/>
        </w:rPr>
        <w:t>Bibliotheca Sacra</w:t>
      </w:r>
      <w:r w:rsidRPr="002162D3">
        <w:rPr>
          <w:rFonts w:ascii="Garamond" w:hAnsi="Garamond"/>
          <w:sz w:val="20"/>
          <w:szCs w:val="20"/>
        </w:rPr>
        <w:t xml:space="preserve"> 161 (October-</w:t>
      </w:r>
      <w:proofErr w:type="gramStart"/>
      <w:r w:rsidRPr="002162D3">
        <w:rPr>
          <w:rFonts w:ascii="Garamond" w:hAnsi="Garamond"/>
          <w:sz w:val="20"/>
          <w:szCs w:val="20"/>
        </w:rPr>
        <w:t>December,</w:t>
      </w:r>
      <w:proofErr w:type="gramEnd"/>
      <w:r w:rsidRPr="002162D3">
        <w:rPr>
          <w:rFonts w:ascii="Garamond" w:hAnsi="Garamond"/>
          <w:sz w:val="20"/>
          <w:szCs w:val="20"/>
        </w:rPr>
        <w:t xml:space="preserve"> 2004), 472-473.</w:t>
      </w:r>
    </w:p>
  </w:footnote>
  <w:footnote w:id="61">
    <w:p w14:paraId="62EBAC4C"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Kenneth L. Gentry, </w:t>
      </w:r>
      <w:r w:rsidRPr="002162D3">
        <w:rPr>
          <w:rFonts w:ascii="Garamond" w:hAnsi="Garamond"/>
          <w:i/>
          <w:iCs/>
          <w:sz w:val="20"/>
          <w:szCs w:val="20"/>
        </w:rPr>
        <w:t>The Book of Revelation Made Easy: You Can Understand Bible Prophecy</w:t>
      </w:r>
      <w:r w:rsidRPr="002162D3">
        <w:rPr>
          <w:rFonts w:ascii="Garamond" w:hAnsi="Garamond"/>
          <w:sz w:val="20"/>
          <w:szCs w:val="20"/>
        </w:rPr>
        <w:t xml:space="preserve"> (Powder Springs, GA: American Vision, 2008), 40.</w:t>
      </w:r>
    </w:p>
  </w:footnote>
  <w:footnote w:id="62">
    <w:p w14:paraId="063DB901"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Fonts w:ascii="Garamond" w:hAnsi="Garamond"/>
          <w:sz w:val="20"/>
          <w:szCs w:val="20"/>
          <w:vertAlign w:val="superscript"/>
        </w:rPr>
        <w:footnoteRef/>
      </w:r>
      <w:r w:rsidRPr="002162D3">
        <w:rPr>
          <w:rFonts w:ascii="Garamond" w:hAnsi="Garamond"/>
          <w:sz w:val="20"/>
          <w:szCs w:val="20"/>
        </w:rPr>
        <w:t xml:space="preserve"> R. T. France, </w:t>
      </w:r>
      <w:r w:rsidRPr="002162D3">
        <w:rPr>
          <w:rFonts w:ascii="Garamond" w:hAnsi="Garamond"/>
          <w:i/>
          <w:sz w:val="20"/>
          <w:szCs w:val="20"/>
        </w:rPr>
        <w:t>Matthew: An Introduction and Commentary</w:t>
      </w:r>
      <w:r w:rsidRPr="002162D3">
        <w:rPr>
          <w:rFonts w:ascii="Garamond" w:hAnsi="Garamond"/>
          <w:sz w:val="20"/>
          <w:szCs w:val="20"/>
        </w:rPr>
        <w:t>. Vol. 1. (Downers Grove, IL: InterVarsity Press, 1985), 336.</w:t>
      </w:r>
    </w:p>
  </w:footnote>
  <w:footnote w:id="63">
    <w:p w14:paraId="08EF033B"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61.</w:t>
      </w:r>
    </w:p>
  </w:footnote>
  <w:footnote w:id="64">
    <w:p w14:paraId="545B93D2"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Josephus, </w:t>
      </w:r>
      <w:r w:rsidRPr="002162D3">
        <w:rPr>
          <w:rFonts w:ascii="Garamond" w:hAnsi="Garamond"/>
          <w:i/>
          <w:sz w:val="20"/>
          <w:szCs w:val="20"/>
        </w:rPr>
        <w:t>The Wars of the Jews</w:t>
      </w:r>
      <w:r w:rsidRPr="002162D3">
        <w:rPr>
          <w:rFonts w:ascii="Garamond" w:hAnsi="Garamond"/>
          <w:sz w:val="20"/>
          <w:szCs w:val="20"/>
        </w:rPr>
        <w:t>, 7:1:1.</w:t>
      </w:r>
    </w:p>
  </w:footnote>
  <w:footnote w:id="65">
    <w:p w14:paraId="5842D1A1"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To be more accurate, he states that the dimensions were </w:t>
      </w:r>
      <w:r w:rsidRPr="002162D3">
        <w:rPr>
          <w:rFonts w:ascii="Garamond" w:hAnsi="Garamond"/>
          <w:bCs/>
          <w:sz w:val="20"/>
          <w:szCs w:val="20"/>
        </w:rPr>
        <w:t xml:space="preserve">25 cubits long, 12 </w:t>
      </w:r>
      <w:proofErr w:type="gramStart"/>
      <w:r w:rsidRPr="002162D3">
        <w:rPr>
          <w:rFonts w:ascii="Garamond" w:hAnsi="Garamond"/>
          <w:bCs/>
          <w:sz w:val="20"/>
          <w:szCs w:val="20"/>
        </w:rPr>
        <w:t>cubit</w:t>
      </w:r>
      <w:proofErr w:type="gramEnd"/>
      <w:r w:rsidRPr="002162D3">
        <w:rPr>
          <w:rFonts w:ascii="Garamond" w:hAnsi="Garamond"/>
          <w:bCs/>
          <w:sz w:val="20"/>
          <w:szCs w:val="20"/>
        </w:rPr>
        <w:t xml:space="preserve"> deep, and 8 cubits tall. A cubit is thought to be 18 inches long.</w:t>
      </w:r>
      <w:r w:rsidRPr="002162D3">
        <w:rPr>
          <w:rFonts w:ascii="Garamond" w:hAnsi="Garamond"/>
          <w:sz w:val="20"/>
          <w:szCs w:val="20"/>
        </w:rPr>
        <w:t xml:space="preserve"> Josephus, </w:t>
      </w:r>
      <w:r w:rsidRPr="002162D3">
        <w:rPr>
          <w:rFonts w:ascii="Garamond" w:hAnsi="Garamond"/>
          <w:i/>
          <w:sz w:val="20"/>
          <w:szCs w:val="20"/>
        </w:rPr>
        <w:t>Antiquities</w:t>
      </w:r>
      <w:r w:rsidRPr="002162D3">
        <w:rPr>
          <w:rFonts w:ascii="Garamond" w:hAnsi="Garamond"/>
          <w:sz w:val="20"/>
          <w:szCs w:val="20"/>
        </w:rPr>
        <w:t>, 15:392.</w:t>
      </w:r>
    </w:p>
  </w:footnote>
  <w:footnote w:id="66">
    <w:p w14:paraId="1670EE60"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w:t>
      </w:r>
      <w:r w:rsidRPr="002162D3">
        <w:rPr>
          <w:rFonts w:ascii="Garamond" w:hAnsi="Garamond"/>
          <w:i/>
          <w:sz w:val="20"/>
          <w:szCs w:val="20"/>
        </w:rPr>
        <w:t>Baba Bathra</w:t>
      </w:r>
      <w:r w:rsidRPr="002162D3">
        <w:rPr>
          <w:rFonts w:ascii="Garamond" w:hAnsi="Garamond"/>
          <w:sz w:val="20"/>
          <w:szCs w:val="20"/>
        </w:rPr>
        <w:t>, 4a.</w:t>
      </w:r>
    </w:p>
  </w:footnote>
  <w:footnote w:id="67">
    <w:p w14:paraId="05758709"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87-89.</w:t>
      </w:r>
    </w:p>
  </w:footnote>
  <w:footnote w:id="68">
    <w:p w14:paraId="08CA138E"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Josephus, </w:t>
      </w:r>
      <w:r w:rsidRPr="002162D3">
        <w:rPr>
          <w:rFonts w:ascii="Garamond" w:hAnsi="Garamond"/>
          <w:i/>
          <w:sz w:val="20"/>
          <w:szCs w:val="20"/>
        </w:rPr>
        <w:t>The Wars of the Jews</w:t>
      </w:r>
      <w:r w:rsidRPr="002162D3">
        <w:rPr>
          <w:rFonts w:ascii="Garamond" w:hAnsi="Garamond"/>
          <w:sz w:val="20"/>
          <w:szCs w:val="20"/>
        </w:rPr>
        <w:t xml:space="preserve">, </w:t>
      </w:r>
      <w:r w:rsidRPr="002162D3">
        <w:rPr>
          <w:rFonts w:ascii="Garamond" w:hAnsi="Garamond"/>
          <w:bCs/>
          <w:sz w:val="20"/>
          <w:szCs w:val="20"/>
        </w:rPr>
        <w:t>6.9.3.</w:t>
      </w:r>
    </w:p>
  </w:footnote>
  <w:footnote w:id="69">
    <w:p w14:paraId="4B5CD34D"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He cites Ezekiel 5:9 to support this conclusion.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120.</w:t>
      </w:r>
    </w:p>
  </w:footnote>
  <w:footnote w:id="70">
    <w:p w14:paraId="43230AF6"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122.</w:t>
      </w:r>
    </w:p>
  </w:footnote>
  <w:footnote w:id="71">
    <w:p w14:paraId="32685EFA"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122.</w:t>
      </w:r>
    </w:p>
  </w:footnote>
  <w:footnote w:id="72">
    <w:p w14:paraId="69106DF7"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Stanley Toussaint “A Critique of the Preterist View of the Olivet Discourse” </w:t>
      </w:r>
      <w:r w:rsidRPr="002162D3">
        <w:rPr>
          <w:rFonts w:ascii="Garamond" w:hAnsi="Garamond"/>
          <w:i/>
          <w:sz w:val="20"/>
          <w:szCs w:val="20"/>
        </w:rPr>
        <w:t>Bibliotheca Sacra</w:t>
      </w:r>
      <w:r w:rsidRPr="002162D3">
        <w:rPr>
          <w:rFonts w:ascii="Garamond" w:hAnsi="Garamond"/>
          <w:sz w:val="20"/>
          <w:szCs w:val="20"/>
        </w:rPr>
        <w:t xml:space="preserve"> 161 (October—</w:t>
      </w:r>
      <w:proofErr w:type="gramStart"/>
      <w:r w:rsidRPr="002162D3">
        <w:rPr>
          <w:rFonts w:ascii="Garamond" w:hAnsi="Garamond"/>
          <w:sz w:val="20"/>
          <w:szCs w:val="20"/>
        </w:rPr>
        <w:t>December,</w:t>
      </w:r>
      <w:proofErr w:type="gramEnd"/>
      <w:r w:rsidRPr="002162D3">
        <w:rPr>
          <w:rFonts w:ascii="Garamond" w:hAnsi="Garamond"/>
          <w:sz w:val="20"/>
          <w:szCs w:val="20"/>
        </w:rPr>
        <w:t xml:space="preserve"> 2004), 481.</w:t>
      </w:r>
    </w:p>
  </w:footnote>
  <w:footnote w:id="73">
    <w:p w14:paraId="36579212"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124.</w:t>
      </w:r>
    </w:p>
  </w:footnote>
  <w:footnote w:id="74">
    <w:p w14:paraId="588B813F"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160-161.</w:t>
      </w:r>
    </w:p>
  </w:footnote>
  <w:footnote w:id="75">
    <w:p w14:paraId="7AEA3D60"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167.</w:t>
      </w:r>
    </w:p>
  </w:footnote>
  <w:footnote w:id="76">
    <w:p w14:paraId="074196DF"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175.</w:t>
      </w:r>
    </w:p>
  </w:footnote>
  <w:footnote w:id="77">
    <w:p w14:paraId="7A459A63"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Gary DeMar, </w:t>
      </w:r>
      <w:r w:rsidRPr="002162D3">
        <w:rPr>
          <w:rFonts w:ascii="Garamond" w:hAnsi="Garamond"/>
          <w:i/>
          <w:sz w:val="20"/>
          <w:szCs w:val="20"/>
        </w:rPr>
        <w:t>Last Days Madness</w:t>
      </w:r>
      <w:r w:rsidRPr="002162D3">
        <w:rPr>
          <w:rFonts w:ascii="Garamond" w:hAnsi="Garamond"/>
          <w:sz w:val="20"/>
          <w:szCs w:val="20"/>
        </w:rPr>
        <w:t xml:space="preserve"> (Atlanta, GA: American Vision, 1999), 58-59.</w:t>
      </w:r>
    </w:p>
  </w:footnote>
  <w:footnote w:id="78">
    <w:p w14:paraId="5B40BCB4"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Carson notes that there are at least seven different interpretations of this passage. </w:t>
      </w:r>
      <w:proofErr w:type="gramStart"/>
      <w:r w:rsidRPr="002162D3">
        <w:rPr>
          <w:rFonts w:ascii="Garamond" w:hAnsi="Garamond"/>
          <w:sz w:val="20"/>
          <w:szCs w:val="20"/>
        </w:rPr>
        <w:t>Thus</w:t>
      </w:r>
      <w:proofErr w:type="gramEnd"/>
      <w:r w:rsidRPr="002162D3">
        <w:rPr>
          <w:rFonts w:ascii="Garamond" w:hAnsi="Garamond"/>
          <w:sz w:val="20"/>
          <w:szCs w:val="20"/>
        </w:rPr>
        <w:t xml:space="preserve"> we should be cautious in being dogmatic on this difficult passage. D.A. Carson, </w:t>
      </w:r>
      <w:r w:rsidRPr="002162D3">
        <w:rPr>
          <w:rFonts w:ascii="Garamond" w:hAnsi="Garamond"/>
          <w:i/>
          <w:sz w:val="20"/>
          <w:szCs w:val="20"/>
        </w:rPr>
        <w:t>The Expositor’s Bible Commentary with the New International Version</w:t>
      </w:r>
      <w:r w:rsidRPr="002162D3">
        <w:rPr>
          <w:rFonts w:ascii="Garamond" w:hAnsi="Garamond"/>
          <w:sz w:val="20"/>
          <w:szCs w:val="20"/>
        </w:rPr>
        <w:t>. Vol. 8. (Grand Rapids, MI: Zondervan, 1984), 250.</w:t>
      </w:r>
    </w:p>
  </w:footnote>
  <w:footnote w:id="79">
    <w:p w14:paraId="5D941F3A" w14:textId="77777777" w:rsidR="00876F3B" w:rsidRPr="002162D3" w:rsidRDefault="00876F3B" w:rsidP="00CD2EDC">
      <w:pPr>
        <w:pStyle w:val="FootnoteText1"/>
        <w:keepNext/>
        <w:keepLines/>
        <w:pageBreakBefore/>
        <w:spacing w:line="240" w:lineRule="auto"/>
        <w:rPr>
          <w:rFonts w:ascii="Garamond" w:hAnsi="Garamond"/>
          <w:sz w:val="20"/>
          <w:szCs w:val="20"/>
        </w:rPr>
      </w:pPr>
      <w:r w:rsidRPr="002162D3">
        <w:rPr>
          <w:rStyle w:val="FootnoteReference"/>
          <w:rFonts w:ascii="Garamond" w:hAnsi="Garamond"/>
          <w:sz w:val="20"/>
          <w:szCs w:val="20"/>
        </w:rPr>
        <w:footnoteRef/>
      </w:r>
      <w:r w:rsidRPr="002162D3">
        <w:rPr>
          <w:rFonts w:ascii="Garamond" w:hAnsi="Garamond"/>
          <w:sz w:val="20"/>
          <w:szCs w:val="20"/>
        </w:rPr>
        <w:t xml:space="preserve"> This is a foretaste of his ultimate coming in glory (Acts 1:11; Rev. 1:7). Note also that Jesus said, “There are </w:t>
      </w:r>
      <w:r w:rsidRPr="002162D3">
        <w:rPr>
          <w:rFonts w:ascii="Garamond" w:hAnsi="Garamond"/>
          <w:i/>
          <w:sz w:val="20"/>
          <w:szCs w:val="20"/>
        </w:rPr>
        <w:t>some</w:t>
      </w:r>
      <w:r w:rsidRPr="002162D3">
        <w:rPr>
          <w:rFonts w:ascii="Garamond" w:hAnsi="Garamond"/>
          <w:sz w:val="20"/>
          <w:szCs w:val="20"/>
        </w:rPr>
        <w:t xml:space="preserve"> of those who are standing here…” This language fits better with the </w:t>
      </w:r>
      <w:r w:rsidRPr="002162D3">
        <w:rPr>
          <w:rFonts w:ascii="Garamond" w:hAnsi="Garamond"/>
          <w:i/>
          <w:sz w:val="20"/>
          <w:szCs w:val="20"/>
        </w:rPr>
        <w:t>three</w:t>
      </w:r>
      <w:r w:rsidRPr="002162D3">
        <w:rPr>
          <w:rFonts w:ascii="Garamond" w:hAnsi="Garamond"/>
          <w:sz w:val="20"/>
          <w:szCs w:val="20"/>
        </w:rPr>
        <w:t xml:space="preserve"> disciples (Peter, James, and John) who saw him on the Transfiguration, rather than with the Resurrection, Ascension, Pentecost, or the Church Age. </w:t>
      </w:r>
      <w:proofErr w:type="gramStart"/>
      <w:r w:rsidRPr="002162D3">
        <w:rPr>
          <w:rFonts w:ascii="Garamond" w:hAnsi="Garamond"/>
          <w:i/>
          <w:sz w:val="20"/>
          <w:szCs w:val="20"/>
        </w:rPr>
        <w:t>All</w:t>
      </w:r>
      <w:r w:rsidRPr="002162D3">
        <w:rPr>
          <w:rFonts w:ascii="Garamond" w:hAnsi="Garamond"/>
          <w:sz w:val="20"/>
          <w:szCs w:val="20"/>
        </w:rPr>
        <w:t xml:space="preserve"> of</w:t>
      </w:r>
      <w:proofErr w:type="gramEnd"/>
      <w:r w:rsidRPr="002162D3">
        <w:rPr>
          <w:rFonts w:ascii="Garamond" w:hAnsi="Garamond"/>
          <w:sz w:val="20"/>
          <w:szCs w:val="20"/>
        </w:rPr>
        <w:t xml:space="preserve"> the disciples saw these other events. Finally, even according to the Preterist view, no one “saw” Jesus at his coming in AD 70, because it was an </w:t>
      </w:r>
      <w:r w:rsidRPr="002162D3">
        <w:rPr>
          <w:rFonts w:ascii="Garamond" w:hAnsi="Garamond"/>
          <w:i/>
          <w:sz w:val="20"/>
          <w:szCs w:val="20"/>
        </w:rPr>
        <w:t>invisible</w:t>
      </w:r>
      <w:r w:rsidRPr="002162D3">
        <w:rPr>
          <w:rFonts w:ascii="Garamond" w:hAnsi="Garamond"/>
          <w:sz w:val="20"/>
          <w:szCs w:val="20"/>
        </w:rPr>
        <w:t xml:space="preserve"> coming. This wouldn’t fit with the language of Matthew 16:28 either.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6FED"/>
    <w:multiLevelType w:val="hybridMultilevel"/>
    <w:tmpl w:val="3998C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8BA3462"/>
    <w:multiLevelType w:val="hybridMultilevel"/>
    <w:tmpl w:val="B096EF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505C84"/>
    <w:multiLevelType w:val="hybridMultilevel"/>
    <w:tmpl w:val="E1C02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E57313"/>
    <w:multiLevelType w:val="hybridMultilevel"/>
    <w:tmpl w:val="D5189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1D40BD"/>
    <w:multiLevelType w:val="hybridMultilevel"/>
    <w:tmpl w:val="8E0E589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6D751C"/>
    <w:multiLevelType w:val="hybridMultilevel"/>
    <w:tmpl w:val="2116B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887047F"/>
    <w:multiLevelType w:val="hybridMultilevel"/>
    <w:tmpl w:val="64AA26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517DB1"/>
    <w:multiLevelType w:val="hybridMultilevel"/>
    <w:tmpl w:val="9FBA0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0135FFC"/>
    <w:multiLevelType w:val="hybridMultilevel"/>
    <w:tmpl w:val="2BDAB3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9272F8D"/>
    <w:multiLevelType w:val="hybridMultilevel"/>
    <w:tmpl w:val="FF6ED44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11272345">
    <w:abstractNumId w:val="6"/>
  </w:num>
  <w:num w:numId="2" w16cid:durableId="733772491">
    <w:abstractNumId w:val="4"/>
  </w:num>
  <w:num w:numId="3" w16cid:durableId="1528325347">
    <w:abstractNumId w:val="2"/>
  </w:num>
  <w:num w:numId="4" w16cid:durableId="1041246538">
    <w:abstractNumId w:val="0"/>
  </w:num>
  <w:num w:numId="5" w16cid:durableId="1472207255">
    <w:abstractNumId w:val="8"/>
  </w:num>
  <w:num w:numId="6" w16cid:durableId="507716147">
    <w:abstractNumId w:val="5"/>
  </w:num>
  <w:num w:numId="7" w16cid:durableId="1555576501">
    <w:abstractNumId w:val="7"/>
  </w:num>
  <w:num w:numId="8" w16cid:durableId="1927690519">
    <w:abstractNumId w:val="3"/>
  </w:num>
  <w:num w:numId="9" w16cid:durableId="32772914">
    <w:abstractNumId w:val="9"/>
  </w:num>
  <w:num w:numId="10" w16cid:durableId="7018314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B7D"/>
    <w:rsid w:val="000017EC"/>
    <w:rsid w:val="0000383D"/>
    <w:rsid w:val="00004313"/>
    <w:rsid w:val="00004F87"/>
    <w:rsid w:val="000051D1"/>
    <w:rsid w:val="000063E3"/>
    <w:rsid w:val="00012005"/>
    <w:rsid w:val="000129D4"/>
    <w:rsid w:val="00013092"/>
    <w:rsid w:val="0001395D"/>
    <w:rsid w:val="00014EC2"/>
    <w:rsid w:val="00016175"/>
    <w:rsid w:val="0002029D"/>
    <w:rsid w:val="000203C2"/>
    <w:rsid w:val="00020E39"/>
    <w:rsid w:val="00021568"/>
    <w:rsid w:val="00021F2B"/>
    <w:rsid w:val="00021FB5"/>
    <w:rsid w:val="000238FB"/>
    <w:rsid w:val="000244D6"/>
    <w:rsid w:val="000257A1"/>
    <w:rsid w:val="00025D08"/>
    <w:rsid w:val="0002784D"/>
    <w:rsid w:val="00027960"/>
    <w:rsid w:val="00032675"/>
    <w:rsid w:val="00032F43"/>
    <w:rsid w:val="00034BAB"/>
    <w:rsid w:val="0003517A"/>
    <w:rsid w:val="000357C1"/>
    <w:rsid w:val="000357E8"/>
    <w:rsid w:val="00035AD3"/>
    <w:rsid w:val="00035B79"/>
    <w:rsid w:val="00035C87"/>
    <w:rsid w:val="00040637"/>
    <w:rsid w:val="00043229"/>
    <w:rsid w:val="00043716"/>
    <w:rsid w:val="00043A8A"/>
    <w:rsid w:val="00045D29"/>
    <w:rsid w:val="00045DD9"/>
    <w:rsid w:val="00045DF1"/>
    <w:rsid w:val="00046E73"/>
    <w:rsid w:val="00050350"/>
    <w:rsid w:val="00050C2E"/>
    <w:rsid w:val="0005125B"/>
    <w:rsid w:val="00051535"/>
    <w:rsid w:val="00052908"/>
    <w:rsid w:val="00052DBC"/>
    <w:rsid w:val="000535EA"/>
    <w:rsid w:val="00055CDE"/>
    <w:rsid w:val="0005633F"/>
    <w:rsid w:val="00061A19"/>
    <w:rsid w:val="000628C4"/>
    <w:rsid w:val="0006384B"/>
    <w:rsid w:val="00065788"/>
    <w:rsid w:val="00066DF0"/>
    <w:rsid w:val="00067070"/>
    <w:rsid w:val="000677D7"/>
    <w:rsid w:val="00070068"/>
    <w:rsid w:val="000711EE"/>
    <w:rsid w:val="00071294"/>
    <w:rsid w:val="00071CD2"/>
    <w:rsid w:val="00071F2A"/>
    <w:rsid w:val="0007220F"/>
    <w:rsid w:val="00073714"/>
    <w:rsid w:val="00075876"/>
    <w:rsid w:val="00076182"/>
    <w:rsid w:val="00076810"/>
    <w:rsid w:val="00077238"/>
    <w:rsid w:val="00077F4C"/>
    <w:rsid w:val="00084A12"/>
    <w:rsid w:val="00087197"/>
    <w:rsid w:val="000874F4"/>
    <w:rsid w:val="000910FA"/>
    <w:rsid w:val="00092591"/>
    <w:rsid w:val="00093868"/>
    <w:rsid w:val="000943A3"/>
    <w:rsid w:val="000945D3"/>
    <w:rsid w:val="000952F1"/>
    <w:rsid w:val="000953A6"/>
    <w:rsid w:val="00095CB7"/>
    <w:rsid w:val="000A0366"/>
    <w:rsid w:val="000A0BB4"/>
    <w:rsid w:val="000A1861"/>
    <w:rsid w:val="000A1E58"/>
    <w:rsid w:val="000A2400"/>
    <w:rsid w:val="000A2C00"/>
    <w:rsid w:val="000A42EE"/>
    <w:rsid w:val="000A4952"/>
    <w:rsid w:val="000A4F0F"/>
    <w:rsid w:val="000A5A98"/>
    <w:rsid w:val="000A737F"/>
    <w:rsid w:val="000A7CFF"/>
    <w:rsid w:val="000B119B"/>
    <w:rsid w:val="000B24DB"/>
    <w:rsid w:val="000B55FC"/>
    <w:rsid w:val="000B5A9B"/>
    <w:rsid w:val="000B7383"/>
    <w:rsid w:val="000C07B3"/>
    <w:rsid w:val="000C0B87"/>
    <w:rsid w:val="000C1D5C"/>
    <w:rsid w:val="000C280F"/>
    <w:rsid w:val="000C366E"/>
    <w:rsid w:val="000C3C38"/>
    <w:rsid w:val="000C5E4D"/>
    <w:rsid w:val="000C7775"/>
    <w:rsid w:val="000D06D1"/>
    <w:rsid w:val="000D4E80"/>
    <w:rsid w:val="000D4FF5"/>
    <w:rsid w:val="000D552B"/>
    <w:rsid w:val="000D5F9E"/>
    <w:rsid w:val="000D62DA"/>
    <w:rsid w:val="000D66B6"/>
    <w:rsid w:val="000D6FE2"/>
    <w:rsid w:val="000D711B"/>
    <w:rsid w:val="000E14E6"/>
    <w:rsid w:val="000E28D5"/>
    <w:rsid w:val="000E45E9"/>
    <w:rsid w:val="000E46A1"/>
    <w:rsid w:val="000E5293"/>
    <w:rsid w:val="000E62C2"/>
    <w:rsid w:val="000E6D33"/>
    <w:rsid w:val="000E6F85"/>
    <w:rsid w:val="000F1498"/>
    <w:rsid w:val="000F2BA4"/>
    <w:rsid w:val="000F3FC2"/>
    <w:rsid w:val="000F52B8"/>
    <w:rsid w:val="000F52D9"/>
    <w:rsid w:val="000F68A1"/>
    <w:rsid w:val="000F776A"/>
    <w:rsid w:val="001005C4"/>
    <w:rsid w:val="001018AA"/>
    <w:rsid w:val="001019ED"/>
    <w:rsid w:val="001038D9"/>
    <w:rsid w:val="00104131"/>
    <w:rsid w:val="00105741"/>
    <w:rsid w:val="00105D26"/>
    <w:rsid w:val="00105EBE"/>
    <w:rsid w:val="001061AB"/>
    <w:rsid w:val="0010669C"/>
    <w:rsid w:val="00107AED"/>
    <w:rsid w:val="00111F89"/>
    <w:rsid w:val="001126E7"/>
    <w:rsid w:val="00112EC4"/>
    <w:rsid w:val="00113798"/>
    <w:rsid w:val="0011468D"/>
    <w:rsid w:val="00116841"/>
    <w:rsid w:val="00116F39"/>
    <w:rsid w:val="001171E5"/>
    <w:rsid w:val="00117AE9"/>
    <w:rsid w:val="0012039B"/>
    <w:rsid w:val="001204DB"/>
    <w:rsid w:val="00120C35"/>
    <w:rsid w:val="00121475"/>
    <w:rsid w:val="001223D1"/>
    <w:rsid w:val="001234ED"/>
    <w:rsid w:val="00125254"/>
    <w:rsid w:val="00125B92"/>
    <w:rsid w:val="00125BDF"/>
    <w:rsid w:val="0012646D"/>
    <w:rsid w:val="00126B13"/>
    <w:rsid w:val="00127414"/>
    <w:rsid w:val="0013129E"/>
    <w:rsid w:val="00132609"/>
    <w:rsid w:val="001326B2"/>
    <w:rsid w:val="00133BAE"/>
    <w:rsid w:val="001342B0"/>
    <w:rsid w:val="00134FBB"/>
    <w:rsid w:val="00136568"/>
    <w:rsid w:val="00141750"/>
    <w:rsid w:val="00141E20"/>
    <w:rsid w:val="00143F88"/>
    <w:rsid w:val="001447CD"/>
    <w:rsid w:val="00144AFB"/>
    <w:rsid w:val="00146192"/>
    <w:rsid w:val="001474DA"/>
    <w:rsid w:val="00151D60"/>
    <w:rsid w:val="001536BD"/>
    <w:rsid w:val="00153E11"/>
    <w:rsid w:val="00154882"/>
    <w:rsid w:val="001557C8"/>
    <w:rsid w:val="00156F82"/>
    <w:rsid w:val="0016020F"/>
    <w:rsid w:val="00160ECC"/>
    <w:rsid w:val="0016446C"/>
    <w:rsid w:val="00164C0D"/>
    <w:rsid w:val="00164E3D"/>
    <w:rsid w:val="001653D3"/>
    <w:rsid w:val="0016550C"/>
    <w:rsid w:val="00167892"/>
    <w:rsid w:val="001713C4"/>
    <w:rsid w:val="00171540"/>
    <w:rsid w:val="00172B90"/>
    <w:rsid w:val="00172FD0"/>
    <w:rsid w:val="001730D2"/>
    <w:rsid w:val="0017470E"/>
    <w:rsid w:val="00177B06"/>
    <w:rsid w:val="00180692"/>
    <w:rsid w:val="00180EC4"/>
    <w:rsid w:val="001819CA"/>
    <w:rsid w:val="0018233D"/>
    <w:rsid w:val="001829C1"/>
    <w:rsid w:val="0018360B"/>
    <w:rsid w:val="00183AF7"/>
    <w:rsid w:val="00184840"/>
    <w:rsid w:val="0018495B"/>
    <w:rsid w:val="00184E03"/>
    <w:rsid w:val="00185034"/>
    <w:rsid w:val="00185F7F"/>
    <w:rsid w:val="0018642D"/>
    <w:rsid w:val="001871FE"/>
    <w:rsid w:val="00187D69"/>
    <w:rsid w:val="0019094B"/>
    <w:rsid w:val="00191D61"/>
    <w:rsid w:val="00192F56"/>
    <w:rsid w:val="00193838"/>
    <w:rsid w:val="001945E7"/>
    <w:rsid w:val="001946FC"/>
    <w:rsid w:val="00196441"/>
    <w:rsid w:val="001A18B4"/>
    <w:rsid w:val="001A25CF"/>
    <w:rsid w:val="001A3211"/>
    <w:rsid w:val="001A7561"/>
    <w:rsid w:val="001B0F69"/>
    <w:rsid w:val="001B1550"/>
    <w:rsid w:val="001B1D27"/>
    <w:rsid w:val="001B23FD"/>
    <w:rsid w:val="001B34E7"/>
    <w:rsid w:val="001B57EC"/>
    <w:rsid w:val="001B7BC0"/>
    <w:rsid w:val="001C142B"/>
    <w:rsid w:val="001C1DB2"/>
    <w:rsid w:val="001C2DFB"/>
    <w:rsid w:val="001C3400"/>
    <w:rsid w:val="001C4FD9"/>
    <w:rsid w:val="001C56EB"/>
    <w:rsid w:val="001C7D00"/>
    <w:rsid w:val="001D0A40"/>
    <w:rsid w:val="001D0CE3"/>
    <w:rsid w:val="001D1B54"/>
    <w:rsid w:val="001D1E63"/>
    <w:rsid w:val="001D221F"/>
    <w:rsid w:val="001D538C"/>
    <w:rsid w:val="001D57A4"/>
    <w:rsid w:val="001D6161"/>
    <w:rsid w:val="001D6F3D"/>
    <w:rsid w:val="001D7FCF"/>
    <w:rsid w:val="001E1277"/>
    <w:rsid w:val="001E1288"/>
    <w:rsid w:val="001E131C"/>
    <w:rsid w:val="001E1772"/>
    <w:rsid w:val="001E24D9"/>
    <w:rsid w:val="001E25CF"/>
    <w:rsid w:val="001E27FA"/>
    <w:rsid w:val="001E5AA2"/>
    <w:rsid w:val="001E5AD4"/>
    <w:rsid w:val="001E6FA0"/>
    <w:rsid w:val="001E6FEE"/>
    <w:rsid w:val="001E745B"/>
    <w:rsid w:val="001F06C3"/>
    <w:rsid w:val="001F095B"/>
    <w:rsid w:val="001F1CDA"/>
    <w:rsid w:val="001F1F84"/>
    <w:rsid w:val="001F22FB"/>
    <w:rsid w:val="001F309E"/>
    <w:rsid w:val="001F4068"/>
    <w:rsid w:val="001F46F0"/>
    <w:rsid w:val="001F4A89"/>
    <w:rsid w:val="001F7AB9"/>
    <w:rsid w:val="00200859"/>
    <w:rsid w:val="002008E9"/>
    <w:rsid w:val="002020BD"/>
    <w:rsid w:val="00202CD1"/>
    <w:rsid w:val="0020312E"/>
    <w:rsid w:val="002038A4"/>
    <w:rsid w:val="00203974"/>
    <w:rsid w:val="00204F62"/>
    <w:rsid w:val="00205F09"/>
    <w:rsid w:val="0020748A"/>
    <w:rsid w:val="00207D90"/>
    <w:rsid w:val="00213215"/>
    <w:rsid w:val="002143B4"/>
    <w:rsid w:val="00216034"/>
    <w:rsid w:val="002162D3"/>
    <w:rsid w:val="002163E7"/>
    <w:rsid w:val="00217770"/>
    <w:rsid w:val="00221338"/>
    <w:rsid w:val="002221DA"/>
    <w:rsid w:val="00223C5D"/>
    <w:rsid w:val="002265B3"/>
    <w:rsid w:val="0023253F"/>
    <w:rsid w:val="00232E22"/>
    <w:rsid w:val="002335B5"/>
    <w:rsid w:val="00233DDA"/>
    <w:rsid w:val="0023400D"/>
    <w:rsid w:val="00234AC5"/>
    <w:rsid w:val="002357DC"/>
    <w:rsid w:val="0024026B"/>
    <w:rsid w:val="00240D3E"/>
    <w:rsid w:val="002422A3"/>
    <w:rsid w:val="00243915"/>
    <w:rsid w:val="002479DB"/>
    <w:rsid w:val="00250481"/>
    <w:rsid w:val="002509B8"/>
    <w:rsid w:val="002518B4"/>
    <w:rsid w:val="00251A84"/>
    <w:rsid w:val="00251F90"/>
    <w:rsid w:val="00252A2D"/>
    <w:rsid w:val="00252DCD"/>
    <w:rsid w:val="002546B7"/>
    <w:rsid w:val="00254F63"/>
    <w:rsid w:val="00255612"/>
    <w:rsid w:val="00256615"/>
    <w:rsid w:val="00256D6A"/>
    <w:rsid w:val="00257263"/>
    <w:rsid w:val="00257D80"/>
    <w:rsid w:val="0026238E"/>
    <w:rsid w:val="00263105"/>
    <w:rsid w:val="002631D0"/>
    <w:rsid w:val="00263938"/>
    <w:rsid w:val="002642E8"/>
    <w:rsid w:val="00264F83"/>
    <w:rsid w:val="00266D72"/>
    <w:rsid w:val="00271B77"/>
    <w:rsid w:val="00271EED"/>
    <w:rsid w:val="002748E9"/>
    <w:rsid w:val="00275CD1"/>
    <w:rsid w:val="00280E43"/>
    <w:rsid w:val="00280EAB"/>
    <w:rsid w:val="00281601"/>
    <w:rsid w:val="00281F31"/>
    <w:rsid w:val="002825AF"/>
    <w:rsid w:val="00283E42"/>
    <w:rsid w:val="00284020"/>
    <w:rsid w:val="00285248"/>
    <w:rsid w:val="00286A4C"/>
    <w:rsid w:val="00287506"/>
    <w:rsid w:val="00287942"/>
    <w:rsid w:val="0029029F"/>
    <w:rsid w:val="00291328"/>
    <w:rsid w:val="00294C37"/>
    <w:rsid w:val="00296013"/>
    <w:rsid w:val="00296AC9"/>
    <w:rsid w:val="0029739D"/>
    <w:rsid w:val="00297FF8"/>
    <w:rsid w:val="002A0818"/>
    <w:rsid w:val="002A0F39"/>
    <w:rsid w:val="002A173B"/>
    <w:rsid w:val="002A3681"/>
    <w:rsid w:val="002A3E50"/>
    <w:rsid w:val="002A4E2F"/>
    <w:rsid w:val="002B131C"/>
    <w:rsid w:val="002B2908"/>
    <w:rsid w:val="002B2F4B"/>
    <w:rsid w:val="002B31D3"/>
    <w:rsid w:val="002B68DF"/>
    <w:rsid w:val="002B6A23"/>
    <w:rsid w:val="002B6E30"/>
    <w:rsid w:val="002C23B5"/>
    <w:rsid w:val="002C252C"/>
    <w:rsid w:val="002C531C"/>
    <w:rsid w:val="002C5F37"/>
    <w:rsid w:val="002C64F1"/>
    <w:rsid w:val="002C6DDB"/>
    <w:rsid w:val="002C7295"/>
    <w:rsid w:val="002C7827"/>
    <w:rsid w:val="002D0F8E"/>
    <w:rsid w:val="002D25AE"/>
    <w:rsid w:val="002D337B"/>
    <w:rsid w:val="002D38EC"/>
    <w:rsid w:val="002D3ED5"/>
    <w:rsid w:val="002D3FF3"/>
    <w:rsid w:val="002D4066"/>
    <w:rsid w:val="002E1E37"/>
    <w:rsid w:val="002E342C"/>
    <w:rsid w:val="002E353E"/>
    <w:rsid w:val="002E3C3B"/>
    <w:rsid w:val="002E476B"/>
    <w:rsid w:val="002E5077"/>
    <w:rsid w:val="002E5371"/>
    <w:rsid w:val="002E6EF7"/>
    <w:rsid w:val="002E73F9"/>
    <w:rsid w:val="002F1352"/>
    <w:rsid w:val="002F1F28"/>
    <w:rsid w:val="002F5640"/>
    <w:rsid w:val="002F67EA"/>
    <w:rsid w:val="002F6EB9"/>
    <w:rsid w:val="0030035D"/>
    <w:rsid w:val="0030038E"/>
    <w:rsid w:val="00301361"/>
    <w:rsid w:val="003017E0"/>
    <w:rsid w:val="00301C3C"/>
    <w:rsid w:val="003042A0"/>
    <w:rsid w:val="00304479"/>
    <w:rsid w:val="0031094D"/>
    <w:rsid w:val="00310C5A"/>
    <w:rsid w:val="00311785"/>
    <w:rsid w:val="00312C57"/>
    <w:rsid w:val="0031401C"/>
    <w:rsid w:val="0031525F"/>
    <w:rsid w:val="0031534C"/>
    <w:rsid w:val="003156D3"/>
    <w:rsid w:val="00315849"/>
    <w:rsid w:val="003164F1"/>
    <w:rsid w:val="00316B99"/>
    <w:rsid w:val="00317A61"/>
    <w:rsid w:val="00321AC1"/>
    <w:rsid w:val="00322829"/>
    <w:rsid w:val="003255A7"/>
    <w:rsid w:val="003260D7"/>
    <w:rsid w:val="0032671E"/>
    <w:rsid w:val="0033014A"/>
    <w:rsid w:val="003305FF"/>
    <w:rsid w:val="00330B45"/>
    <w:rsid w:val="0033153B"/>
    <w:rsid w:val="0033225D"/>
    <w:rsid w:val="0033261E"/>
    <w:rsid w:val="00333A08"/>
    <w:rsid w:val="00334DF6"/>
    <w:rsid w:val="00334EB5"/>
    <w:rsid w:val="00337058"/>
    <w:rsid w:val="00337403"/>
    <w:rsid w:val="00340347"/>
    <w:rsid w:val="00340C23"/>
    <w:rsid w:val="0034111D"/>
    <w:rsid w:val="00341981"/>
    <w:rsid w:val="00342601"/>
    <w:rsid w:val="0034643B"/>
    <w:rsid w:val="00350B52"/>
    <w:rsid w:val="003552C8"/>
    <w:rsid w:val="00355CF2"/>
    <w:rsid w:val="0035615F"/>
    <w:rsid w:val="00356B26"/>
    <w:rsid w:val="00356DBF"/>
    <w:rsid w:val="003579EA"/>
    <w:rsid w:val="00360F2D"/>
    <w:rsid w:val="003634A6"/>
    <w:rsid w:val="00364ED4"/>
    <w:rsid w:val="00365052"/>
    <w:rsid w:val="00365755"/>
    <w:rsid w:val="00365CE1"/>
    <w:rsid w:val="00365F7B"/>
    <w:rsid w:val="003662B0"/>
    <w:rsid w:val="0036747C"/>
    <w:rsid w:val="00370CE3"/>
    <w:rsid w:val="0037185C"/>
    <w:rsid w:val="00372316"/>
    <w:rsid w:val="00373F75"/>
    <w:rsid w:val="003741D1"/>
    <w:rsid w:val="003747D3"/>
    <w:rsid w:val="00374A58"/>
    <w:rsid w:val="00375A28"/>
    <w:rsid w:val="00377445"/>
    <w:rsid w:val="00380FD2"/>
    <w:rsid w:val="0038331D"/>
    <w:rsid w:val="00384DD8"/>
    <w:rsid w:val="0039139D"/>
    <w:rsid w:val="0039145D"/>
    <w:rsid w:val="003914E3"/>
    <w:rsid w:val="00392BF6"/>
    <w:rsid w:val="00392C0D"/>
    <w:rsid w:val="00392FAB"/>
    <w:rsid w:val="003A0209"/>
    <w:rsid w:val="003A0594"/>
    <w:rsid w:val="003A1815"/>
    <w:rsid w:val="003A1E34"/>
    <w:rsid w:val="003A4A57"/>
    <w:rsid w:val="003A4AA2"/>
    <w:rsid w:val="003A6B07"/>
    <w:rsid w:val="003B0317"/>
    <w:rsid w:val="003B0663"/>
    <w:rsid w:val="003B1068"/>
    <w:rsid w:val="003B206A"/>
    <w:rsid w:val="003B35F0"/>
    <w:rsid w:val="003B410E"/>
    <w:rsid w:val="003B4166"/>
    <w:rsid w:val="003B57DE"/>
    <w:rsid w:val="003B657F"/>
    <w:rsid w:val="003B6E9E"/>
    <w:rsid w:val="003C04DA"/>
    <w:rsid w:val="003C21F2"/>
    <w:rsid w:val="003C584C"/>
    <w:rsid w:val="003C6618"/>
    <w:rsid w:val="003C662B"/>
    <w:rsid w:val="003C6C49"/>
    <w:rsid w:val="003C7C20"/>
    <w:rsid w:val="003D1670"/>
    <w:rsid w:val="003D2E09"/>
    <w:rsid w:val="003D4B66"/>
    <w:rsid w:val="003D76F0"/>
    <w:rsid w:val="003E0CBC"/>
    <w:rsid w:val="003E1F61"/>
    <w:rsid w:val="003E5199"/>
    <w:rsid w:val="003F2722"/>
    <w:rsid w:val="003F35CB"/>
    <w:rsid w:val="003F4120"/>
    <w:rsid w:val="003F49F1"/>
    <w:rsid w:val="003F5998"/>
    <w:rsid w:val="003F6085"/>
    <w:rsid w:val="003F6689"/>
    <w:rsid w:val="003F7712"/>
    <w:rsid w:val="00401C23"/>
    <w:rsid w:val="00401F16"/>
    <w:rsid w:val="00402175"/>
    <w:rsid w:val="00402219"/>
    <w:rsid w:val="004032AD"/>
    <w:rsid w:val="00403509"/>
    <w:rsid w:val="00403586"/>
    <w:rsid w:val="00403CB5"/>
    <w:rsid w:val="0040597E"/>
    <w:rsid w:val="0040632C"/>
    <w:rsid w:val="00406B41"/>
    <w:rsid w:val="00407002"/>
    <w:rsid w:val="00413F33"/>
    <w:rsid w:val="00414465"/>
    <w:rsid w:val="00415DF1"/>
    <w:rsid w:val="00416308"/>
    <w:rsid w:val="0041684A"/>
    <w:rsid w:val="00417C75"/>
    <w:rsid w:val="00422C64"/>
    <w:rsid w:val="004232EA"/>
    <w:rsid w:val="00423479"/>
    <w:rsid w:val="0042554C"/>
    <w:rsid w:val="00425967"/>
    <w:rsid w:val="00426F2A"/>
    <w:rsid w:val="004272D0"/>
    <w:rsid w:val="00430D90"/>
    <w:rsid w:val="00431F10"/>
    <w:rsid w:val="00432205"/>
    <w:rsid w:val="00436AA5"/>
    <w:rsid w:val="00440725"/>
    <w:rsid w:val="004417F6"/>
    <w:rsid w:val="00442621"/>
    <w:rsid w:val="0044354B"/>
    <w:rsid w:val="00444426"/>
    <w:rsid w:val="004448B6"/>
    <w:rsid w:val="00445743"/>
    <w:rsid w:val="004469FF"/>
    <w:rsid w:val="00446CE6"/>
    <w:rsid w:val="00450091"/>
    <w:rsid w:val="004504FE"/>
    <w:rsid w:val="0045121C"/>
    <w:rsid w:val="00451A5C"/>
    <w:rsid w:val="00451E6C"/>
    <w:rsid w:val="00453C49"/>
    <w:rsid w:val="004545E0"/>
    <w:rsid w:val="00454636"/>
    <w:rsid w:val="004565A1"/>
    <w:rsid w:val="00460001"/>
    <w:rsid w:val="004615F4"/>
    <w:rsid w:val="0046179C"/>
    <w:rsid w:val="00461C3C"/>
    <w:rsid w:val="00463AED"/>
    <w:rsid w:val="00464BDE"/>
    <w:rsid w:val="004654EE"/>
    <w:rsid w:val="004657DA"/>
    <w:rsid w:val="00466890"/>
    <w:rsid w:val="00466C90"/>
    <w:rsid w:val="004671D2"/>
    <w:rsid w:val="004677DA"/>
    <w:rsid w:val="00467F54"/>
    <w:rsid w:val="00472D54"/>
    <w:rsid w:val="00474AA0"/>
    <w:rsid w:val="004751F9"/>
    <w:rsid w:val="004763C8"/>
    <w:rsid w:val="00476C8E"/>
    <w:rsid w:val="00477077"/>
    <w:rsid w:val="004771C2"/>
    <w:rsid w:val="00477967"/>
    <w:rsid w:val="00480024"/>
    <w:rsid w:val="004802A6"/>
    <w:rsid w:val="004803A1"/>
    <w:rsid w:val="00481D30"/>
    <w:rsid w:val="004833CE"/>
    <w:rsid w:val="00483B5E"/>
    <w:rsid w:val="004858B3"/>
    <w:rsid w:val="00487674"/>
    <w:rsid w:val="0049180C"/>
    <w:rsid w:val="0049371E"/>
    <w:rsid w:val="00494291"/>
    <w:rsid w:val="004968C0"/>
    <w:rsid w:val="00496B7D"/>
    <w:rsid w:val="0049781F"/>
    <w:rsid w:val="00497C7D"/>
    <w:rsid w:val="004A12D7"/>
    <w:rsid w:val="004A170C"/>
    <w:rsid w:val="004A47DF"/>
    <w:rsid w:val="004A56C4"/>
    <w:rsid w:val="004A5DD1"/>
    <w:rsid w:val="004B1469"/>
    <w:rsid w:val="004B1ED8"/>
    <w:rsid w:val="004B3121"/>
    <w:rsid w:val="004B4F45"/>
    <w:rsid w:val="004B5815"/>
    <w:rsid w:val="004B5AF7"/>
    <w:rsid w:val="004B7034"/>
    <w:rsid w:val="004B764F"/>
    <w:rsid w:val="004C0232"/>
    <w:rsid w:val="004C22E2"/>
    <w:rsid w:val="004C2A3D"/>
    <w:rsid w:val="004C37D9"/>
    <w:rsid w:val="004C597B"/>
    <w:rsid w:val="004D0B6D"/>
    <w:rsid w:val="004D1740"/>
    <w:rsid w:val="004D3DEB"/>
    <w:rsid w:val="004D742F"/>
    <w:rsid w:val="004D775A"/>
    <w:rsid w:val="004D781D"/>
    <w:rsid w:val="004E059D"/>
    <w:rsid w:val="004E15F2"/>
    <w:rsid w:val="004E1939"/>
    <w:rsid w:val="004E1A57"/>
    <w:rsid w:val="004E1DB9"/>
    <w:rsid w:val="004E2589"/>
    <w:rsid w:val="004E2B54"/>
    <w:rsid w:val="004E2F04"/>
    <w:rsid w:val="004E3908"/>
    <w:rsid w:val="004E3BA5"/>
    <w:rsid w:val="004E46E6"/>
    <w:rsid w:val="004E6CA8"/>
    <w:rsid w:val="004E6F47"/>
    <w:rsid w:val="004E6FFE"/>
    <w:rsid w:val="004E7590"/>
    <w:rsid w:val="004F02D4"/>
    <w:rsid w:val="004F04A6"/>
    <w:rsid w:val="004F092B"/>
    <w:rsid w:val="004F1769"/>
    <w:rsid w:val="004F36CC"/>
    <w:rsid w:val="004F42E5"/>
    <w:rsid w:val="004F5650"/>
    <w:rsid w:val="004F633D"/>
    <w:rsid w:val="004F653F"/>
    <w:rsid w:val="004F6CAA"/>
    <w:rsid w:val="004F759D"/>
    <w:rsid w:val="004F7911"/>
    <w:rsid w:val="004F7B83"/>
    <w:rsid w:val="004F7BE5"/>
    <w:rsid w:val="005008AF"/>
    <w:rsid w:val="00500F69"/>
    <w:rsid w:val="00501099"/>
    <w:rsid w:val="00501896"/>
    <w:rsid w:val="00501E98"/>
    <w:rsid w:val="0050240E"/>
    <w:rsid w:val="00502671"/>
    <w:rsid w:val="00502F86"/>
    <w:rsid w:val="0050498D"/>
    <w:rsid w:val="005050AC"/>
    <w:rsid w:val="005052FB"/>
    <w:rsid w:val="00505AA2"/>
    <w:rsid w:val="00505BAF"/>
    <w:rsid w:val="00506023"/>
    <w:rsid w:val="00506254"/>
    <w:rsid w:val="005067E6"/>
    <w:rsid w:val="00507E5E"/>
    <w:rsid w:val="00510BEF"/>
    <w:rsid w:val="005111EF"/>
    <w:rsid w:val="00513BDE"/>
    <w:rsid w:val="005148C0"/>
    <w:rsid w:val="00514DB7"/>
    <w:rsid w:val="00516E31"/>
    <w:rsid w:val="00517DFA"/>
    <w:rsid w:val="00520DED"/>
    <w:rsid w:val="00521F17"/>
    <w:rsid w:val="00522473"/>
    <w:rsid w:val="00523A00"/>
    <w:rsid w:val="00524998"/>
    <w:rsid w:val="00525DDA"/>
    <w:rsid w:val="00526BB3"/>
    <w:rsid w:val="005274B3"/>
    <w:rsid w:val="005274FD"/>
    <w:rsid w:val="00530A1B"/>
    <w:rsid w:val="005320B6"/>
    <w:rsid w:val="005320C0"/>
    <w:rsid w:val="005337ED"/>
    <w:rsid w:val="00533C46"/>
    <w:rsid w:val="00533C4A"/>
    <w:rsid w:val="005365D0"/>
    <w:rsid w:val="00537C3E"/>
    <w:rsid w:val="00537C83"/>
    <w:rsid w:val="0054173B"/>
    <w:rsid w:val="00541E70"/>
    <w:rsid w:val="005430D9"/>
    <w:rsid w:val="00543CE0"/>
    <w:rsid w:val="00543F0E"/>
    <w:rsid w:val="00544938"/>
    <w:rsid w:val="00544DE8"/>
    <w:rsid w:val="00545598"/>
    <w:rsid w:val="00546396"/>
    <w:rsid w:val="005467C2"/>
    <w:rsid w:val="0055013B"/>
    <w:rsid w:val="0055050E"/>
    <w:rsid w:val="00550D90"/>
    <w:rsid w:val="00551CE6"/>
    <w:rsid w:val="00552EDE"/>
    <w:rsid w:val="0055354A"/>
    <w:rsid w:val="00553BC2"/>
    <w:rsid w:val="00554942"/>
    <w:rsid w:val="00555FA0"/>
    <w:rsid w:val="00556A96"/>
    <w:rsid w:val="0055732B"/>
    <w:rsid w:val="00557E98"/>
    <w:rsid w:val="00557F08"/>
    <w:rsid w:val="00560A74"/>
    <w:rsid w:val="00561C1F"/>
    <w:rsid w:val="00562276"/>
    <w:rsid w:val="005623FD"/>
    <w:rsid w:val="00562963"/>
    <w:rsid w:val="005630E9"/>
    <w:rsid w:val="00563857"/>
    <w:rsid w:val="00564963"/>
    <w:rsid w:val="00564D97"/>
    <w:rsid w:val="00564FEB"/>
    <w:rsid w:val="00565C66"/>
    <w:rsid w:val="00566A28"/>
    <w:rsid w:val="00567D7E"/>
    <w:rsid w:val="0057055C"/>
    <w:rsid w:val="00570ADD"/>
    <w:rsid w:val="00571806"/>
    <w:rsid w:val="005724FE"/>
    <w:rsid w:val="00574F36"/>
    <w:rsid w:val="00576E32"/>
    <w:rsid w:val="005778AA"/>
    <w:rsid w:val="00581E67"/>
    <w:rsid w:val="005822BE"/>
    <w:rsid w:val="00583B1F"/>
    <w:rsid w:val="00583B7F"/>
    <w:rsid w:val="0058409D"/>
    <w:rsid w:val="00584C9F"/>
    <w:rsid w:val="005864AA"/>
    <w:rsid w:val="00586800"/>
    <w:rsid w:val="00586C86"/>
    <w:rsid w:val="0058702E"/>
    <w:rsid w:val="00590285"/>
    <w:rsid w:val="005910D0"/>
    <w:rsid w:val="0059118F"/>
    <w:rsid w:val="00593F67"/>
    <w:rsid w:val="00594121"/>
    <w:rsid w:val="00594DE1"/>
    <w:rsid w:val="00596DB9"/>
    <w:rsid w:val="005A0DC9"/>
    <w:rsid w:val="005A18F6"/>
    <w:rsid w:val="005A3519"/>
    <w:rsid w:val="005A35D7"/>
    <w:rsid w:val="005A3D16"/>
    <w:rsid w:val="005A46F3"/>
    <w:rsid w:val="005A6ECB"/>
    <w:rsid w:val="005B0C3F"/>
    <w:rsid w:val="005B0C97"/>
    <w:rsid w:val="005B1629"/>
    <w:rsid w:val="005B1A34"/>
    <w:rsid w:val="005B3824"/>
    <w:rsid w:val="005B3C23"/>
    <w:rsid w:val="005B4A84"/>
    <w:rsid w:val="005B548C"/>
    <w:rsid w:val="005B6EA1"/>
    <w:rsid w:val="005B738D"/>
    <w:rsid w:val="005B7A8E"/>
    <w:rsid w:val="005B7E63"/>
    <w:rsid w:val="005C2BF5"/>
    <w:rsid w:val="005C2E19"/>
    <w:rsid w:val="005C5492"/>
    <w:rsid w:val="005D02C3"/>
    <w:rsid w:val="005D2C2E"/>
    <w:rsid w:val="005D33F2"/>
    <w:rsid w:val="005D3C7C"/>
    <w:rsid w:val="005D3F16"/>
    <w:rsid w:val="005D3F79"/>
    <w:rsid w:val="005D4391"/>
    <w:rsid w:val="005D6E67"/>
    <w:rsid w:val="005E0358"/>
    <w:rsid w:val="005E0834"/>
    <w:rsid w:val="005E11B8"/>
    <w:rsid w:val="005E2793"/>
    <w:rsid w:val="005E2AA0"/>
    <w:rsid w:val="005E4D85"/>
    <w:rsid w:val="005E78E0"/>
    <w:rsid w:val="005F0DB5"/>
    <w:rsid w:val="005F2C38"/>
    <w:rsid w:val="005F4261"/>
    <w:rsid w:val="005F4C16"/>
    <w:rsid w:val="005F5080"/>
    <w:rsid w:val="005F55AD"/>
    <w:rsid w:val="005F579A"/>
    <w:rsid w:val="005F6DCD"/>
    <w:rsid w:val="005F705C"/>
    <w:rsid w:val="00600F84"/>
    <w:rsid w:val="006012E7"/>
    <w:rsid w:val="00604316"/>
    <w:rsid w:val="00606588"/>
    <w:rsid w:val="00606FB5"/>
    <w:rsid w:val="00610842"/>
    <w:rsid w:val="00620608"/>
    <w:rsid w:val="00625CB5"/>
    <w:rsid w:val="006266A1"/>
    <w:rsid w:val="00626B95"/>
    <w:rsid w:val="00626E58"/>
    <w:rsid w:val="0062708C"/>
    <w:rsid w:val="006272D6"/>
    <w:rsid w:val="006274B3"/>
    <w:rsid w:val="006318BE"/>
    <w:rsid w:val="00632543"/>
    <w:rsid w:val="00632F39"/>
    <w:rsid w:val="006338BA"/>
    <w:rsid w:val="006362F2"/>
    <w:rsid w:val="0064102A"/>
    <w:rsid w:val="006418FE"/>
    <w:rsid w:val="006419C6"/>
    <w:rsid w:val="00643457"/>
    <w:rsid w:val="00643ED2"/>
    <w:rsid w:val="00644AAC"/>
    <w:rsid w:val="00644ED8"/>
    <w:rsid w:val="0064590D"/>
    <w:rsid w:val="00645EB4"/>
    <w:rsid w:val="006461FD"/>
    <w:rsid w:val="0064665D"/>
    <w:rsid w:val="00646A52"/>
    <w:rsid w:val="00647FF1"/>
    <w:rsid w:val="006514FE"/>
    <w:rsid w:val="0065178E"/>
    <w:rsid w:val="006535CA"/>
    <w:rsid w:val="0065391C"/>
    <w:rsid w:val="0065454A"/>
    <w:rsid w:val="00656048"/>
    <w:rsid w:val="0065622C"/>
    <w:rsid w:val="006566B8"/>
    <w:rsid w:val="00657E2D"/>
    <w:rsid w:val="00660309"/>
    <w:rsid w:val="006606E6"/>
    <w:rsid w:val="00660947"/>
    <w:rsid w:val="006617C1"/>
    <w:rsid w:val="006623A9"/>
    <w:rsid w:val="00662823"/>
    <w:rsid w:val="00663767"/>
    <w:rsid w:val="00665026"/>
    <w:rsid w:val="00666D6B"/>
    <w:rsid w:val="006672BB"/>
    <w:rsid w:val="00674B12"/>
    <w:rsid w:val="006817E2"/>
    <w:rsid w:val="006823E2"/>
    <w:rsid w:val="00682915"/>
    <w:rsid w:val="00682EC7"/>
    <w:rsid w:val="00683A27"/>
    <w:rsid w:val="006857EC"/>
    <w:rsid w:val="00686028"/>
    <w:rsid w:val="00686972"/>
    <w:rsid w:val="00687E06"/>
    <w:rsid w:val="00690FC2"/>
    <w:rsid w:val="00691690"/>
    <w:rsid w:val="0069176A"/>
    <w:rsid w:val="006930BA"/>
    <w:rsid w:val="00693E39"/>
    <w:rsid w:val="00695525"/>
    <w:rsid w:val="006A0972"/>
    <w:rsid w:val="006A4470"/>
    <w:rsid w:val="006A4590"/>
    <w:rsid w:val="006A4CE2"/>
    <w:rsid w:val="006A5CEF"/>
    <w:rsid w:val="006A6FE6"/>
    <w:rsid w:val="006B05B6"/>
    <w:rsid w:val="006B2600"/>
    <w:rsid w:val="006B282D"/>
    <w:rsid w:val="006B2EB2"/>
    <w:rsid w:val="006B3202"/>
    <w:rsid w:val="006B394C"/>
    <w:rsid w:val="006B603C"/>
    <w:rsid w:val="006B64E5"/>
    <w:rsid w:val="006B7072"/>
    <w:rsid w:val="006B7790"/>
    <w:rsid w:val="006B7BAC"/>
    <w:rsid w:val="006B7C64"/>
    <w:rsid w:val="006C0B71"/>
    <w:rsid w:val="006C11F2"/>
    <w:rsid w:val="006C1E27"/>
    <w:rsid w:val="006C3C6A"/>
    <w:rsid w:val="006C5448"/>
    <w:rsid w:val="006C64AA"/>
    <w:rsid w:val="006C6EA8"/>
    <w:rsid w:val="006C750D"/>
    <w:rsid w:val="006C7547"/>
    <w:rsid w:val="006C76F5"/>
    <w:rsid w:val="006D00FD"/>
    <w:rsid w:val="006D01E6"/>
    <w:rsid w:val="006D2B07"/>
    <w:rsid w:val="006D43B0"/>
    <w:rsid w:val="006D5284"/>
    <w:rsid w:val="006D5D60"/>
    <w:rsid w:val="006D7A4C"/>
    <w:rsid w:val="006E0974"/>
    <w:rsid w:val="006E1D81"/>
    <w:rsid w:val="006E3795"/>
    <w:rsid w:val="006E44EE"/>
    <w:rsid w:val="006E6B77"/>
    <w:rsid w:val="006E73A7"/>
    <w:rsid w:val="006F1F3B"/>
    <w:rsid w:val="006F2EA7"/>
    <w:rsid w:val="006F307F"/>
    <w:rsid w:val="006F390A"/>
    <w:rsid w:val="006F407A"/>
    <w:rsid w:val="006F4625"/>
    <w:rsid w:val="006F6DAC"/>
    <w:rsid w:val="006F7C91"/>
    <w:rsid w:val="006F7FB0"/>
    <w:rsid w:val="00700273"/>
    <w:rsid w:val="00702471"/>
    <w:rsid w:val="0070266F"/>
    <w:rsid w:val="0070411A"/>
    <w:rsid w:val="00705DB2"/>
    <w:rsid w:val="007103F1"/>
    <w:rsid w:val="00710EB1"/>
    <w:rsid w:val="007122E7"/>
    <w:rsid w:val="00713ED5"/>
    <w:rsid w:val="007147FC"/>
    <w:rsid w:val="0071489C"/>
    <w:rsid w:val="00715760"/>
    <w:rsid w:val="00715A85"/>
    <w:rsid w:val="00717093"/>
    <w:rsid w:val="007179D7"/>
    <w:rsid w:val="00717CB9"/>
    <w:rsid w:val="00717FCC"/>
    <w:rsid w:val="0072027A"/>
    <w:rsid w:val="00720970"/>
    <w:rsid w:val="007213B0"/>
    <w:rsid w:val="00721540"/>
    <w:rsid w:val="007221BD"/>
    <w:rsid w:val="00723B7E"/>
    <w:rsid w:val="00725DB4"/>
    <w:rsid w:val="00726347"/>
    <w:rsid w:val="00731133"/>
    <w:rsid w:val="00732469"/>
    <w:rsid w:val="00732CAB"/>
    <w:rsid w:val="00732FC6"/>
    <w:rsid w:val="007330B2"/>
    <w:rsid w:val="007332A7"/>
    <w:rsid w:val="00733956"/>
    <w:rsid w:val="007359B1"/>
    <w:rsid w:val="00735A0A"/>
    <w:rsid w:val="0073625F"/>
    <w:rsid w:val="007400E2"/>
    <w:rsid w:val="007404B9"/>
    <w:rsid w:val="00740757"/>
    <w:rsid w:val="00740EE7"/>
    <w:rsid w:val="00740EE9"/>
    <w:rsid w:val="00742D8E"/>
    <w:rsid w:val="00744D41"/>
    <w:rsid w:val="00744E6A"/>
    <w:rsid w:val="00745E2E"/>
    <w:rsid w:val="00751059"/>
    <w:rsid w:val="00752673"/>
    <w:rsid w:val="00752F82"/>
    <w:rsid w:val="00752FC3"/>
    <w:rsid w:val="007531F6"/>
    <w:rsid w:val="0075541B"/>
    <w:rsid w:val="007559A3"/>
    <w:rsid w:val="00755AC6"/>
    <w:rsid w:val="007618E9"/>
    <w:rsid w:val="00762A4D"/>
    <w:rsid w:val="007637EE"/>
    <w:rsid w:val="007644C2"/>
    <w:rsid w:val="00764C68"/>
    <w:rsid w:val="007655CB"/>
    <w:rsid w:val="007709FF"/>
    <w:rsid w:val="00771B5B"/>
    <w:rsid w:val="007752DF"/>
    <w:rsid w:val="007767D0"/>
    <w:rsid w:val="00777EC4"/>
    <w:rsid w:val="00781187"/>
    <w:rsid w:val="00782EAA"/>
    <w:rsid w:val="00783679"/>
    <w:rsid w:val="0078616C"/>
    <w:rsid w:val="0078641E"/>
    <w:rsid w:val="00786598"/>
    <w:rsid w:val="00787674"/>
    <w:rsid w:val="00787B0C"/>
    <w:rsid w:val="007902AC"/>
    <w:rsid w:val="00790A79"/>
    <w:rsid w:val="00791334"/>
    <w:rsid w:val="007918DD"/>
    <w:rsid w:val="00792488"/>
    <w:rsid w:val="007931D8"/>
    <w:rsid w:val="00793980"/>
    <w:rsid w:val="0079703A"/>
    <w:rsid w:val="007A14BD"/>
    <w:rsid w:val="007A266B"/>
    <w:rsid w:val="007A509C"/>
    <w:rsid w:val="007A5A01"/>
    <w:rsid w:val="007A6602"/>
    <w:rsid w:val="007A7C7C"/>
    <w:rsid w:val="007B0D23"/>
    <w:rsid w:val="007B15FE"/>
    <w:rsid w:val="007B19BA"/>
    <w:rsid w:val="007B2915"/>
    <w:rsid w:val="007B44D3"/>
    <w:rsid w:val="007B4A42"/>
    <w:rsid w:val="007B4B98"/>
    <w:rsid w:val="007B7879"/>
    <w:rsid w:val="007C08C3"/>
    <w:rsid w:val="007C114F"/>
    <w:rsid w:val="007C1BD6"/>
    <w:rsid w:val="007C1C90"/>
    <w:rsid w:val="007C3EA5"/>
    <w:rsid w:val="007C5126"/>
    <w:rsid w:val="007C6A69"/>
    <w:rsid w:val="007D0D9E"/>
    <w:rsid w:val="007D2501"/>
    <w:rsid w:val="007D3806"/>
    <w:rsid w:val="007D3FF9"/>
    <w:rsid w:val="007D44C6"/>
    <w:rsid w:val="007D4CD1"/>
    <w:rsid w:val="007D4D67"/>
    <w:rsid w:val="007D631E"/>
    <w:rsid w:val="007D6C95"/>
    <w:rsid w:val="007D71E9"/>
    <w:rsid w:val="007E0B2C"/>
    <w:rsid w:val="007E134C"/>
    <w:rsid w:val="007E2950"/>
    <w:rsid w:val="007E2B1F"/>
    <w:rsid w:val="007E3254"/>
    <w:rsid w:val="007E34F5"/>
    <w:rsid w:val="007E3B94"/>
    <w:rsid w:val="007E5618"/>
    <w:rsid w:val="007E5EA3"/>
    <w:rsid w:val="007E6334"/>
    <w:rsid w:val="007E6611"/>
    <w:rsid w:val="007F124B"/>
    <w:rsid w:val="007F1F32"/>
    <w:rsid w:val="007F32FF"/>
    <w:rsid w:val="007F4074"/>
    <w:rsid w:val="007F6EED"/>
    <w:rsid w:val="007F7030"/>
    <w:rsid w:val="007F7ACE"/>
    <w:rsid w:val="008003A0"/>
    <w:rsid w:val="008023BF"/>
    <w:rsid w:val="00802888"/>
    <w:rsid w:val="00803099"/>
    <w:rsid w:val="00804C12"/>
    <w:rsid w:val="00805B79"/>
    <w:rsid w:val="00806349"/>
    <w:rsid w:val="00810D47"/>
    <w:rsid w:val="0081273E"/>
    <w:rsid w:val="008157CF"/>
    <w:rsid w:val="008161B7"/>
    <w:rsid w:val="0081683F"/>
    <w:rsid w:val="0081746E"/>
    <w:rsid w:val="0082063F"/>
    <w:rsid w:val="00821483"/>
    <w:rsid w:val="008219F3"/>
    <w:rsid w:val="008233E1"/>
    <w:rsid w:val="00823969"/>
    <w:rsid w:val="008249D2"/>
    <w:rsid w:val="00824AC5"/>
    <w:rsid w:val="008252C2"/>
    <w:rsid w:val="008263CF"/>
    <w:rsid w:val="00826529"/>
    <w:rsid w:val="00826E4D"/>
    <w:rsid w:val="00827D50"/>
    <w:rsid w:val="0083083D"/>
    <w:rsid w:val="00831D93"/>
    <w:rsid w:val="00832647"/>
    <w:rsid w:val="0083336F"/>
    <w:rsid w:val="0083455F"/>
    <w:rsid w:val="008354B9"/>
    <w:rsid w:val="008357C1"/>
    <w:rsid w:val="0083645C"/>
    <w:rsid w:val="00836E1F"/>
    <w:rsid w:val="00842F0D"/>
    <w:rsid w:val="008445DA"/>
    <w:rsid w:val="00844D2A"/>
    <w:rsid w:val="00844E69"/>
    <w:rsid w:val="00844E92"/>
    <w:rsid w:val="00845504"/>
    <w:rsid w:val="008459E8"/>
    <w:rsid w:val="0084658B"/>
    <w:rsid w:val="008470BD"/>
    <w:rsid w:val="00847279"/>
    <w:rsid w:val="00850197"/>
    <w:rsid w:val="00850BEB"/>
    <w:rsid w:val="00851EFB"/>
    <w:rsid w:val="008541A9"/>
    <w:rsid w:val="008545A9"/>
    <w:rsid w:val="008548FD"/>
    <w:rsid w:val="00854A4C"/>
    <w:rsid w:val="00854E67"/>
    <w:rsid w:val="00855194"/>
    <w:rsid w:val="008555BF"/>
    <w:rsid w:val="008562B5"/>
    <w:rsid w:val="00856DFA"/>
    <w:rsid w:val="00856F21"/>
    <w:rsid w:val="00857E87"/>
    <w:rsid w:val="00860CCE"/>
    <w:rsid w:val="008613E6"/>
    <w:rsid w:val="00861560"/>
    <w:rsid w:val="00861A3E"/>
    <w:rsid w:val="00861CAB"/>
    <w:rsid w:val="00861D91"/>
    <w:rsid w:val="008635AB"/>
    <w:rsid w:val="00863A0C"/>
    <w:rsid w:val="00863F0A"/>
    <w:rsid w:val="008656D3"/>
    <w:rsid w:val="00867A65"/>
    <w:rsid w:val="00867C84"/>
    <w:rsid w:val="00870FE2"/>
    <w:rsid w:val="008724B5"/>
    <w:rsid w:val="00872ADE"/>
    <w:rsid w:val="0087376F"/>
    <w:rsid w:val="00873892"/>
    <w:rsid w:val="008743B2"/>
    <w:rsid w:val="008752FF"/>
    <w:rsid w:val="00875FED"/>
    <w:rsid w:val="00876248"/>
    <w:rsid w:val="00876AA4"/>
    <w:rsid w:val="00876F3B"/>
    <w:rsid w:val="0087777A"/>
    <w:rsid w:val="008814FF"/>
    <w:rsid w:val="00882B89"/>
    <w:rsid w:val="00883F6E"/>
    <w:rsid w:val="00884319"/>
    <w:rsid w:val="00884D98"/>
    <w:rsid w:val="00887183"/>
    <w:rsid w:val="008908B5"/>
    <w:rsid w:val="008912D5"/>
    <w:rsid w:val="00891DF7"/>
    <w:rsid w:val="008927CA"/>
    <w:rsid w:val="00892807"/>
    <w:rsid w:val="00893011"/>
    <w:rsid w:val="00893291"/>
    <w:rsid w:val="00894B4C"/>
    <w:rsid w:val="008954A9"/>
    <w:rsid w:val="00895FAE"/>
    <w:rsid w:val="008971D6"/>
    <w:rsid w:val="008A1A51"/>
    <w:rsid w:val="008A1EFE"/>
    <w:rsid w:val="008A26D7"/>
    <w:rsid w:val="008A3028"/>
    <w:rsid w:val="008A376C"/>
    <w:rsid w:val="008A3D59"/>
    <w:rsid w:val="008A591F"/>
    <w:rsid w:val="008A7BBA"/>
    <w:rsid w:val="008B0240"/>
    <w:rsid w:val="008B260C"/>
    <w:rsid w:val="008B336C"/>
    <w:rsid w:val="008B35C1"/>
    <w:rsid w:val="008B4A95"/>
    <w:rsid w:val="008B50ED"/>
    <w:rsid w:val="008B775F"/>
    <w:rsid w:val="008B7E0B"/>
    <w:rsid w:val="008B7F03"/>
    <w:rsid w:val="008C0155"/>
    <w:rsid w:val="008C172D"/>
    <w:rsid w:val="008C1936"/>
    <w:rsid w:val="008C20AF"/>
    <w:rsid w:val="008C436A"/>
    <w:rsid w:val="008C4E74"/>
    <w:rsid w:val="008C7306"/>
    <w:rsid w:val="008C7F86"/>
    <w:rsid w:val="008D00BF"/>
    <w:rsid w:val="008D0A63"/>
    <w:rsid w:val="008D3024"/>
    <w:rsid w:val="008D5676"/>
    <w:rsid w:val="008D64B2"/>
    <w:rsid w:val="008D6A3D"/>
    <w:rsid w:val="008D7D25"/>
    <w:rsid w:val="008E1203"/>
    <w:rsid w:val="008E248F"/>
    <w:rsid w:val="008E2496"/>
    <w:rsid w:val="008E3A85"/>
    <w:rsid w:val="008E3A9B"/>
    <w:rsid w:val="008E3D1D"/>
    <w:rsid w:val="008E3EBA"/>
    <w:rsid w:val="008E4A85"/>
    <w:rsid w:val="008E5A8A"/>
    <w:rsid w:val="008E5CAF"/>
    <w:rsid w:val="008F0507"/>
    <w:rsid w:val="008F1085"/>
    <w:rsid w:val="008F1D8E"/>
    <w:rsid w:val="008F1F00"/>
    <w:rsid w:val="008F24F6"/>
    <w:rsid w:val="008F3A0A"/>
    <w:rsid w:val="008F6175"/>
    <w:rsid w:val="008F6F93"/>
    <w:rsid w:val="0090055B"/>
    <w:rsid w:val="00900A1E"/>
    <w:rsid w:val="00901736"/>
    <w:rsid w:val="00904F81"/>
    <w:rsid w:val="009054CB"/>
    <w:rsid w:val="00907E89"/>
    <w:rsid w:val="00910B2A"/>
    <w:rsid w:val="00912B12"/>
    <w:rsid w:val="009136D0"/>
    <w:rsid w:val="009165DF"/>
    <w:rsid w:val="00917D48"/>
    <w:rsid w:val="00917DB5"/>
    <w:rsid w:val="009204EA"/>
    <w:rsid w:val="00920B47"/>
    <w:rsid w:val="009211C4"/>
    <w:rsid w:val="00923C88"/>
    <w:rsid w:val="00925670"/>
    <w:rsid w:val="00925824"/>
    <w:rsid w:val="00925D78"/>
    <w:rsid w:val="00926FAE"/>
    <w:rsid w:val="0092784B"/>
    <w:rsid w:val="00931621"/>
    <w:rsid w:val="0093261E"/>
    <w:rsid w:val="0093340B"/>
    <w:rsid w:val="00935CBD"/>
    <w:rsid w:val="00935E6D"/>
    <w:rsid w:val="009367BB"/>
    <w:rsid w:val="0094045E"/>
    <w:rsid w:val="00941E2A"/>
    <w:rsid w:val="00944079"/>
    <w:rsid w:val="00944DDF"/>
    <w:rsid w:val="00945A70"/>
    <w:rsid w:val="00947251"/>
    <w:rsid w:val="00947726"/>
    <w:rsid w:val="00947969"/>
    <w:rsid w:val="00950310"/>
    <w:rsid w:val="009505DB"/>
    <w:rsid w:val="00950CF9"/>
    <w:rsid w:val="0095239D"/>
    <w:rsid w:val="00952AA8"/>
    <w:rsid w:val="00953252"/>
    <w:rsid w:val="00954486"/>
    <w:rsid w:val="00955BD8"/>
    <w:rsid w:val="00955EB4"/>
    <w:rsid w:val="009575F7"/>
    <w:rsid w:val="00961104"/>
    <w:rsid w:val="00961B19"/>
    <w:rsid w:val="0096301C"/>
    <w:rsid w:val="0096438B"/>
    <w:rsid w:val="00964BDA"/>
    <w:rsid w:val="00965191"/>
    <w:rsid w:val="009653D8"/>
    <w:rsid w:val="009659A5"/>
    <w:rsid w:val="00965EF9"/>
    <w:rsid w:val="009669F7"/>
    <w:rsid w:val="009672DD"/>
    <w:rsid w:val="009678FB"/>
    <w:rsid w:val="00973725"/>
    <w:rsid w:val="00974F04"/>
    <w:rsid w:val="00977369"/>
    <w:rsid w:val="00980BBA"/>
    <w:rsid w:val="00983ADA"/>
    <w:rsid w:val="00983CC6"/>
    <w:rsid w:val="0098579C"/>
    <w:rsid w:val="009872FF"/>
    <w:rsid w:val="0098777E"/>
    <w:rsid w:val="00990626"/>
    <w:rsid w:val="009908C8"/>
    <w:rsid w:val="00991FD0"/>
    <w:rsid w:val="00992D6B"/>
    <w:rsid w:val="00992F72"/>
    <w:rsid w:val="00993952"/>
    <w:rsid w:val="00994071"/>
    <w:rsid w:val="0099444C"/>
    <w:rsid w:val="00994617"/>
    <w:rsid w:val="009959EC"/>
    <w:rsid w:val="009A0DB6"/>
    <w:rsid w:val="009A11AB"/>
    <w:rsid w:val="009A203E"/>
    <w:rsid w:val="009A3ADE"/>
    <w:rsid w:val="009A55BB"/>
    <w:rsid w:val="009A6F0E"/>
    <w:rsid w:val="009A7CBD"/>
    <w:rsid w:val="009B07E3"/>
    <w:rsid w:val="009B08C4"/>
    <w:rsid w:val="009B3216"/>
    <w:rsid w:val="009B4FA6"/>
    <w:rsid w:val="009C2425"/>
    <w:rsid w:val="009C3A5B"/>
    <w:rsid w:val="009C4736"/>
    <w:rsid w:val="009C60F5"/>
    <w:rsid w:val="009D0644"/>
    <w:rsid w:val="009D111E"/>
    <w:rsid w:val="009D287C"/>
    <w:rsid w:val="009D2DDD"/>
    <w:rsid w:val="009D3F85"/>
    <w:rsid w:val="009D5C18"/>
    <w:rsid w:val="009D623E"/>
    <w:rsid w:val="009D7EA7"/>
    <w:rsid w:val="009D7F33"/>
    <w:rsid w:val="009E0242"/>
    <w:rsid w:val="009E6B9C"/>
    <w:rsid w:val="009F1103"/>
    <w:rsid w:val="009F34E4"/>
    <w:rsid w:val="009F453B"/>
    <w:rsid w:val="009F479E"/>
    <w:rsid w:val="009F5F55"/>
    <w:rsid w:val="009F6B88"/>
    <w:rsid w:val="009F6FDB"/>
    <w:rsid w:val="009F7293"/>
    <w:rsid w:val="00A002FD"/>
    <w:rsid w:val="00A006E4"/>
    <w:rsid w:val="00A01CD1"/>
    <w:rsid w:val="00A02308"/>
    <w:rsid w:val="00A02648"/>
    <w:rsid w:val="00A026C8"/>
    <w:rsid w:val="00A02A09"/>
    <w:rsid w:val="00A03BC3"/>
    <w:rsid w:val="00A0551B"/>
    <w:rsid w:val="00A06F23"/>
    <w:rsid w:val="00A07748"/>
    <w:rsid w:val="00A10FC6"/>
    <w:rsid w:val="00A11335"/>
    <w:rsid w:val="00A11AF1"/>
    <w:rsid w:val="00A12147"/>
    <w:rsid w:val="00A126BD"/>
    <w:rsid w:val="00A1326A"/>
    <w:rsid w:val="00A13785"/>
    <w:rsid w:val="00A1479B"/>
    <w:rsid w:val="00A147AF"/>
    <w:rsid w:val="00A1571B"/>
    <w:rsid w:val="00A161A9"/>
    <w:rsid w:val="00A17BB1"/>
    <w:rsid w:val="00A20E11"/>
    <w:rsid w:val="00A20EBE"/>
    <w:rsid w:val="00A20F1E"/>
    <w:rsid w:val="00A21AE2"/>
    <w:rsid w:val="00A22F31"/>
    <w:rsid w:val="00A2467E"/>
    <w:rsid w:val="00A248A1"/>
    <w:rsid w:val="00A261AA"/>
    <w:rsid w:val="00A26494"/>
    <w:rsid w:val="00A27D72"/>
    <w:rsid w:val="00A31358"/>
    <w:rsid w:val="00A33336"/>
    <w:rsid w:val="00A33628"/>
    <w:rsid w:val="00A33B9D"/>
    <w:rsid w:val="00A34502"/>
    <w:rsid w:val="00A346D7"/>
    <w:rsid w:val="00A34A3A"/>
    <w:rsid w:val="00A36149"/>
    <w:rsid w:val="00A36C93"/>
    <w:rsid w:val="00A370C3"/>
    <w:rsid w:val="00A37256"/>
    <w:rsid w:val="00A41935"/>
    <w:rsid w:val="00A42219"/>
    <w:rsid w:val="00A425A9"/>
    <w:rsid w:val="00A42C84"/>
    <w:rsid w:val="00A42D05"/>
    <w:rsid w:val="00A45AA1"/>
    <w:rsid w:val="00A47DDC"/>
    <w:rsid w:val="00A47FBD"/>
    <w:rsid w:val="00A50814"/>
    <w:rsid w:val="00A50F04"/>
    <w:rsid w:val="00A51A0B"/>
    <w:rsid w:val="00A53C9D"/>
    <w:rsid w:val="00A5510E"/>
    <w:rsid w:val="00A5646D"/>
    <w:rsid w:val="00A56EE4"/>
    <w:rsid w:val="00A57AE7"/>
    <w:rsid w:val="00A60B75"/>
    <w:rsid w:val="00A63C4C"/>
    <w:rsid w:val="00A64593"/>
    <w:rsid w:val="00A6476D"/>
    <w:rsid w:val="00A64A15"/>
    <w:rsid w:val="00A65C2D"/>
    <w:rsid w:val="00A65D40"/>
    <w:rsid w:val="00A66435"/>
    <w:rsid w:val="00A66661"/>
    <w:rsid w:val="00A67826"/>
    <w:rsid w:val="00A704E5"/>
    <w:rsid w:val="00A70A3B"/>
    <w:rsid w:val="00A70E54"/>
    <w:rsid w:val="00A71BE4"/>
    <w:rsid w:val="00A76E1C"/>
    <w:rsid w:val="00A77980"/>
    <w:rsid w:val="00A81823"/>
    <w:rsid w:val="00A83B21"/>
    <w:rsid w:val="00A84961"/>
    <w:rsid w:val="00A86235"/>
    <w:rsid w:val="00A86A5B"/>
    <w:rsid w:val="00A91144"/>
    <w:rsid w:val="00A9154A"/>
    <w:rsid w:val="00A9195F"/>
    <w:rsid w:val="00A919E3"/>
    <w:rsid w:val="00A93615"/>
    <w:rsid w:val="00A94007"/>
    <w:rsid w:val="00A9468C"/>
    <w:rsid w:val="00A951F1"/>
    <w:rsid w:val="00AA02E0"/>
    <w:rsid w:val="00AA0473"/>
    <w:rsid w:val="00AA0CA3"/>
    <w:rsid w:val="00AA163B"/>
    <w:rsid w:val="00AA166C"/>
    <w:rsid w:val="00AA16A3"/>
    <w:rsid w:val="00AA2A00"/>
    <w:rsid w:val="00AA2E28"/>
    <w:rsid w:val="00AA4811"/>
    <w:rsid w:val="00AA6E2B"/>
    <w:rsid w:val="00AA7DD8"/>
    <w:rsid w:val="00AB05F5"/>
    <w:rsid w:val="00AB1C13"/>
    <w:rsid w:val="00AB23FA"/>
    <w:rsid w:val="00AB2997"/>
    <w:rsid w:val="00AB4098"/>
    <w:rsid w:val="00AB5153"/>
    <w:rsid w:val="00AB551F"/>
    <w:rsid w:val="00AB5676"/>
    <w:rsid w:val="00AB5E7F"/>
    <w:rsid w:val="00AB6129"/>
    <w:rsid w:val="00AB61FB"/>
    <w:rsid w:val="00AB769A"/>
    <w:rsid w:val="00AB78AB"/>
    <w:rsid w:val="00AC009C"/>
    <w:rsid w:val="00AC03F0"/>
    <w:rsid w:val="00AC5872"/>
    <w:rsid w:val="00AC7021"/>
    <w:rsid w:val="00AC7298"/>
    <w:rsid w:val="00AD3BF8"/>
    <w:rsid w:val="00AD6A8A"/>
    <w:rsid w:val="00AD7768"/>
    <w:rsid w:val="00AE21D9"/>
    <w:rsid w:val="00AE2395"/>
    <w:rsid w:val="00AE35C0"/>
    <w:rsid w:val="00AE4EFF"/>
    <w:rsid w:val="00AE627C"/>
    <w:rsid w:val="00AE6A5A"/>
    <w:rsid w:val="00AF1F02"/>
    <w:rsid w:val="00AF32B7"/>
    <w:rsid w:val="00AF44AA"/>
    <w:rsid w:val="00AF512E"/>
    <w:rsid w:val="00AF56C4"/>
    <w:rsid w:val="00AF6A34"/>
    <w:rsid w:val="00AF71B9"/>
    <w:rsid w:val="00AF7A6F"/>
    <w:rsid w:val="00B02C43"/>
    <w:rsid w:val="00B043D9"/>
    <w:rsid w:val="00B074CE"/>
    <w:rsid w:val="00B10830"/>
    <w:rsid w:val="00B11C3A"/>
    <w:rsid w:val="00B11C8C"/>
    <w:rsid w:val="00B13C83"/>
    <w:rsid w:val="00B13CBC"/>
    <w:rsid w:val="00B14735"/>
    <w:rsid w:val="00B20D33"/>
    <w:rsid w:val="00B23FBC"/>
    <w:rsid w:val="00B250B3"/>
    <w:rsid w:val="00B255DB"/>
    <w:rsid w:val="00B27D87"/>
    <w:rsid w:val="00B307FC"/>
    <w:rsid w:val="00B309A5"/>
    <w:rsid w:val="00B31315"/>
    <w:rsid w:val="00B31C24"/>
    <w:rsid w:val="00B34DA7"/>
    <w:rsid w:val="00B356EC"/>
    <w:rsid w:val="00B36226"/>
    <w:rsid w:val="00B400DD"/>
    <w:rsid w:val="00B41065"/>
    <w:rsid w:val="00B4122C"/>
    <w:rsid w:val="00B437E5"/>
    <w:rsid w:val="00B43BE0"/>
    <w:rsid w:val="00B4468F"/>
    <w:rsid w:val="00B506DC"/>
    <w:rsid w:val="00B5078B"/>
    <w:rsid w:val="00B55522"/>
    <w:rsid w:val="00B55C77"/>
    <w:rsid w:val="00B5740A"/>
    <w:rsid w:val="00B57CA0"/>
    <w:rsid w:val="00B6106C"/>
    <w:rsid w:val="00B65132"/>
    <w:rsid w:val="00B671EA"/>
    <w:rsid w:val="00B672B4"/>
    <w:rsid w:val="00B70044"/>
    <w:rsid w:val="00B715B0"/>
    <w:rsid w:val="00B71BE4"/>
    <w:rsid w:val="00B739B1"/>
    <w:rsid w:val="00B74727"/>
    <w:rsid w:val="00B74DD9"/>
    <w:rsid w:val="00B757E7"/>
    <w:rsid w:val="00B76EE4"/>
    <w:rsid w:val="00B77140"/>
    <w:rsid w:val="00B80FE4"/>
    <w:rsid w:val="00B818C0"/>
    <w:rsid w:val="00B82B66"/>
    <w:rsid w:val="00B849D1"/>
    <w:rsid w:val="00B84A59"/>
    <w:rsid w:val="00B874FD"/>
    <w:rsid w:val="00B8778A"/>
    <w:rsid w:val="00B9023F"/>
    <w:rsid w:val="00B90A26"/>
    <w:rsid w:val="00B914CD"/>
    <w:rsid w:val="00B92E37"/>
    <w:rsid w:val="00B93F50"/>
    <w:rsid w:val="00B9431C"/>
    <w:rsid w:val="00B979D4"/>
    <w:rsid w:val="00BA0489"/>
    <w:rsid w:val="00BA17F3"/>
    <w:rsid w:val="00BA2639"/>
    <w:rsid w:val="00BA31E4"/>
    <w:rsid w:val="00BA32A5"/>
    <w:rsid w:val="00BA34BE"/>
    <w:rsid w:val="00BA3A95"/>
    <w:rsid w:val="00BA6638"/>
    <w:rsid w:val="00BA6C69"/>
    <w:rsid w:val="00BA7B44"/>
    <w:rsid w:val="00BB0088"/>
    <w:rsid w:val="00BB0FBC"/>
    <w:rsid w:val="00BB1A55"/>
    <w:rsid w:val="00BB1EF2"/>
    <w:rsid w:val="00BB3B99"/>
    <w:rsid w:val="00BB64B5"/>
    <w:rsid w:val="00BB7440"/>
    <w:rsid w:val="00BB7509"/>
    <w:rsid w:val="00BC072D"/>
    <w:rsid w:val="00BC0889"/>
    <w:rsid w:val="00BC1638"/>
    <w:rsid w:val="00BC22D8"/>
    <w:rsid w:val="00BC2599"/>
    <w:rsid w:val="00BC3BDA"/>
    <w:rsid w:val="00BC47C0"/>
    <w:rsid w:val="00BC4AC7"/>
    <w:rsid w:val="00BC62F3"/>
    <w:rsid w:val="00BD039D"/>
    <w:rsid w:val="00BD03DD"/>
    <w:rsid w:val="00BD112F"/>
    <w:rsid w:val="00BD304F"/>
    <w:rsid w:val="00BD30CE"/>
    <w:rsid w:val="00BD4F9D"/>
    <w:rsid w:val="00BD513A"/>
    <w:rsid w:val="00BD6098"/>
    <w:rsid w:val="00BD66BC"/>
    <w:rsid w:val="00BD74C6"/>
    <w:rsid w:val="00BE0166"/>
    <w:rsid w:val="00BE0A74"/>
    <w:rsid w:val="00BE0D4D"/>
    <w:rsid w:val="00BE1BE6"/>
    <w:rsid w:val="00BE4BF8"/>
    <w:rsid w:val="00BE646E"/>
    <w:rsid w:val="00BE7ED8"/>
    <w:rsid w:val="00BF094E"/>
    <w:rsid w:val="00BF1237"/>
    <w:rsid w:val="00BF1834"/>
    <w:rsid w:val="00BF316A"/>
    <w:rsid w:val="00BF4008"/>
    <w:rsid w:val="00BF688D"/>
    <w:rsid w:val="00BF6C84"/>
    <w:rsid w:val="00BF7819"/>
    <w:rsid w:val="00C0088C"/>
    <w:rsid w:val="00C00BAE"/>
    <w:rsid w:val="00C01A8F"/>
    <w:rsid w:val="00C01FBA"/>
    <w:rsid w:val="00C029A4"/>
    <w:rsid w:val="00C03FB3"/>
    <w:rsid w:val="00C04473"/>
    <w:rsid w:val="00C04775"/>
    <w:rsid w:val="00C04D5C"/>
    <w:rsid w:val="00C055BF"/>
    <w:rsid w:val="00C0629A"/>
    <w:rsid w:val="00C1002E"/>
    <w:rsid w:val="00C1066C"/>
    <w:rsid w:val="00C107DC"/>
    <w:rsid w:val="00C10B46"/>
    <w:rsid w:val="00C10DBC"/>
    <w:rsid w:val="00C13F60"/>
    <w:rsid w:val="00C16457"/>
    <w:rsid w:val="00C1767C"/>
    <w:rsid w:val="00C23EB0"/>
    <w:rsid w:val="00C25C6C"/>
    <w:rsid w:val="00C26185"/>
    <w:rsid w:val="00C306DD"/>
    <w:rsid w:val="00C30F24"/>
    <w:rsid w:val="00C31F95"/>
    <w:rsid w:val="00C32F3C"/>
    <w:rsid w:val="00C33CAF"/>
    <w:rsid w:val="00C34028"/>
    <w:rsid w:val="00C34C66"/>
    <w:rsid w:val="00C36ADF"/>
    <w:rsid w:val="00C377FE"/>
    <w:rsid w:val="00C401E6"/>
    <w:rsid w:val="00C40625"/>
    <w:rsid w:val="00C4182D"/>
    <w:rsid w:val="00C42007"/>
    <w:rsid w:val="00C4235E"/>
    <w:rsid w:val="00C4271C"/>
    <w:rsid w:val="00C42BAC"/>
    <w:rsid w:val="00C4316A"/>
    <w:rsid w:val="00C4502D"/>
    <w:rsid w:val="00C5203D"/>
    <w:rsid w:val="00C53CDF"/>
    <w:rsid w:val="00C541BB"/>
    <w:rsid w:val="00C550DF"/>
    <w:rsid w:val="00C56B28"/>
    <w:rsid w:val="00C56C2F"/>
    <w:rsid w:val="00C6094D"/>
    <w:rsid w:val="00C61143"/>
    <w:rsid w:val="00C63176"/>
    <w:rsid w:val="00C6399A"/>
    <w:rsid w:val="00C6431B"/>
    <w:rsid w:val="00C6558B"/>
    <w:rsid w:val="00C668F2"/>
    <w:rsid w:val="00C70F30"/>
    <w:rsid w:val="00C71F50"/>
    <w:rsid w:val="00C7227E"/>
    <w:rsid w:val="00C72CD3"/>
    <w:rsid w:val="00C7346C"/>
    <w:rsid w:val="00C74ABC"/>
    <w:rsid w:val="00C7596B"/>
    <w:rsid w:val="00C75D36"/>
    <w:rsid w:val="00C80863"/>
    <w:rsid w:val="00C822D8"/>
    <w:rsid w:val="00C83B8D"/>
    <w:rsid w:val="00C84F5F"/>
    <w:rsid w:val="00C87565"/>
    <w:rsid w:val="00C91282"/>
    <w:rsid w:val="00C92578"/>
    <w:rsid w:val="00C931AE"/>
    <w:rsid w:val="00C939EF"/>
    <w:rsid w:val="00C94530"/>
    <w:rsid w:val="00C95BF5"/>
    <w:rsid w:val="00C96FB2"/>
    <w:rsid w:val="00C96FE5"/>
    <w:rsid w:val="00C9701C"/>
    <w:rsid w:val="00C97245"/>
    <w:rsid w:val="00CA16DC"/>
    <w:rsid w:val="00CA29A7"/>
    <w:rsid w:val="00CA39BF"/>
    <w:rsid w:val="00CA3A7A"/>
    <w:rsid w:val="00CA4EA8"/>
    <w:rsid w:val="00CA5139"/>
    <w:rsid w:val="00CA5324"/>
    <w:rsid w:val="00CA53A5"/>
    <w:rsid w:val="00CA6474"/>
    <w:rsid w:val="00CA68D3"/>
    <w:rsid w:val="00CB2A55"/>
    <w:rsid w:val="00CB2FC9"/>
    <w:rsid w:val="00CB44C1"/>
    <w:rsid w:val="00CB6831"/>
    <w:rsid w:val="00CC119A"/>
    <w:rsid w:val="00CC4BE1"/>
    <w:rsid w:val="00CC4F84"/>
    <w:rsid w:val="00CC5761"/>
    <w:rsid w:val="00CC66F4"/>
    <w:rsid w:val="00CC6C9E"/>
    <w:rsid w:val="00CC7798"/>
    <w:rsid w:val="00CC7B91"/>
    <w:rsid w:val="00CD0B91"/>
    <w:rsid w:val="00CD13C5"/>
    <w:rsid w:val="00CD1EF0"/>
    <w:rsid w:val="00CD2EDC"/>
    <w:rsid w:val="00CD6CCD"/>
    <w:rsid w:val="00CD6DC2"/>
    <w:rsid w:val="00CD7133"/>
    <w:rsid w:val="00CE0B68"/>
    <w:rsid w:val="00CE1EB0"/>
    <w:rsid w:val="00CE20F3"/>
    <w:rsid w:val="00CE3503"/>
    <w:rsid w:val="00CE45F3"/>
    <w:rsid w:val="00CE5A83"/>
    <w:rsid w:val="00CE664E"/>
    <w:rsid w:val="00CE6987"/>
    <w:rsid w:val="00CF04C2"/>
    <w:rsid w:val="00CF0EDE"/>
    <w:rsid w:val="00CF0FAE"/>
    <w:rsid w:val="00CF232C"/>
    <w:rsid w:val="00CF3289"/>
    <w:rsid w:val="00CF349D"/>
    <w:rsid w:val="00CF4731"/>
    <w:rsid w:val="00CF5B45"/>
    <w:rsid w:val="00CF5F80"/>
    <w:rsid w:val="00CF6E00"/>
    <w:rsid w:val="00CF6F39"/>
    <w:rsid w:val="00CF737B"/>
    <w:rsid w:val="00CF7684"/>
    <w:rsid w:val="00CF7C86"/>
    <w:rsid w:val="00D00807"/>
    <w:rsid w:val="00D009EA"/>
    <w:rsid w:val="00D00A7A"/>
    <w:rsid w:val="00D0369C"/>
    <w:rsid w:val="00D03FA6"/>
    <w:rsid w:val="00D04206"/>
    <w:rsid w:val="00D04921"/>
    <w:rsid w:val="00D05B11"/>
    <w:rsid w:val="00D05C20"/>
    <w:rsid w:val="00D068CF"/>
    <w:rsid w:val="00D076AE"/>
    <w:rsid w:val="00D07F77"/>
    <w:rsid w:val="00D10585"/>
    <w:rsid w:val="00D10780"/>
    <w:rsid w:val="00D12086"/>
    <w:rsid w:val="00D133F9"/>
    <w:rsid w:val="00D137CA"/>
    <w:rsid w:val="00D15289"/>
    <w:rsid w:val="00D157DB"/>
    <w:rsid w:val="00D15B44"/>
    <w:rsid w:val="00D234D8"/>
    <w:rsid w:val="00D24DA4"/>
    <w:rsid w:val="00D24E4E"/>
    <w:rsid w:val="00D2516A"/>
    <w:rsid w:val="00D2605A"/>
    <w:rsid w:val="00D2621D"/>
    <w:rsid w:val="00D2735B"/>
    <w:rsid w:val="00D27F46"/>
    <w:rsid w:val="00D313B8"/>
    <w:rsid w:val="00D318E9"/>
    <w:rsid w:val="00D31D88"/>
    <w:rsid w:val="00D31F93"/>
    <w:rsid w:val="00D3290A"/>
    <w:rsid w:val="00D36D93"/>
    <w:rsid w:val="00D3717D"/>
    <w:rsid w:val="00D41ADB"/>
    <w:rsid w:val="00D41B6A"/>
    <w:rsid w:val="00D44A70"/>
    <w:rsid w:val="00D44B11"/>
    <w:rsid w:val="00D45991"/>
    <w:rsid w:val="00D459CD"/>
    <w:rsid w:val="00D4629E"/>
    <w:rsid w:val="00D50C69"/>
    <w:rsid w:val="00D54180"/>
    <w:rsid w:val="00D54EC1"/>
    <w:rsid w:val="00D54F5C"/>
    <w:rsid w:val="00D60F7D"/>
    <w:rsid w:val="00D61B46"/>
    <w:rsid w:val="00D62CF0"/>
    <w:rsid w:val="00D63C3C"/>
    <w:rsid w:val="00D6496D"/>
    <w:rsid w:val="00D64B65"/>
    <w:rsid w:val="00D65520"/>
    <w:rsid w:val="00D65BE0"/>
    <w:rsid w:val="00D7164C"/>
    <w:rsid w:val="00D72649"/>
    <w:rsid w:val="00D754AC"/>
    <w:rsid w:val="00D76A5B"/>
    <w:rsid w:val="00D76F50"/>
    <w:rsid w:val="00D802EE"/>
    <w:rsid w:val="00D824EF"/>
    <w:rsid w:val="00D82D57"/>
    <w:rsid w:val="00D83247"/>
    <w:rsid w:val="00D83929"/>
    <w:rsid w:val="00D83C20"/>
    <w:rsid w:val="00D8428C"/>
    <w:rsid w:val="00D85924"/>
    <w:rsid w:val="00D85C26"/>
    <w:rsid w:val="00D85EAE"/>
    <w:rsid w:val="00D867FB"/>
    <w:rsid w:val="00D8768B"/>
    <w:rsid w:val="00D90085"/>
    <w:rsid w:val="00D91EFC"/>
    <w:rsid w:val="00D93865"/>
    <w:rsid w:val="00D93C43"/>
    <w:rsid w:val="00D9676B"/>
    <w:rsid w:val="00D96C8E"/>
    <w:rsid w:val="00D97802"/>
    <w:rsid w:val="00DA1389"/>
    <w:rsid w:val="00DA30AA"/>
    <w:rsid w:val="00DA3340"/>
    <w:rsid w:val="00DA55B2"/>
    <w:rsid w:val="00DA689E"/>
    <w:rsid w:val="00DA7190"/>
    <w:rsid w:val="00DA719B"/>
    <w:rsid w:val="00DA7963"/>
    <w:rsid w:val="00DA7DA6"/>
    <w:rsid w:val="00DB1CE3"/>
    <w:rsid w:val="00DB1D4E"/>
    <w:rsid w:val="00DB2245"/>
    <w:rsid w:val="00DB3A43"/>
    <w:rsid w:val="00DB4240"/>
    <w:rsid w:val="00DB4AAB"/>
    <w:rsid w:val="00DB59F8"/>
    <w:rsid w:val="00DB6293"/>
    <w:rsid w:val="00DB7EE1"/>
    <w:rsid w:val="00DC0821"/>
    <w:rsid w:val="00DC0BE9"/>
    <w:rsid w:val="00DC1D01"/>
    <w:rsid w:val="00DC48CF"/>
    <w:rsid w:val="00DC6D05"/>
    <w:rsid w:val="00DC7C5E"/>
    <w:rsid w:val="00DD04C3"/>
    <w:rsid w:val="00DD0920"/>
    <w:rsid w:val="00DD29F8"/>
    <w:rsid w:val="00DD3D98"/>
    <w:rsid w:val="00DD43AD"/>
    <w:rsid w:val="00DD53E7"/>
    <w:rsid w:val="00DD5DAF"/>
    <w:rsid w:val="00DD71CA"/>
    <w:rsid w:val="00DE178E"/>
    <w:rsid w:val="00DE2D54"/>
    <w:rsid w:val="00DE3B7F"/>
    <w:rsid w:val="00DE40B9"/>
    <w:rsid w:val="00DE440E"/>
    <w:rsid w:val="00DE4D44"/>
    <w:rsid w:val="00DE51E5"/>
    <w:rsid w:val="00DE617A"/>
    <w:rsid w:val="00DE6628"/>
    <w:rsid w:val="00DE693B"/>
    <w:rsid w:val="00DE7783"/>
    <w:rsid w:val="00DF108F"/>
    <w:rsid w:val="00DF2A1A"/>
    <w:rsid w:val="00E00634"/>
    <w:rsid w:val="00E00BFD"/>
    <w:rsid w:val="00E01103"/>
    <w:rsid w:val="00E01E5A"/>
    <w:rsid w:val="00E037E4"/>
    <w:rsid w:val="00E04B25"/>
    <w:rsid w:val="00E051BD"/>
    <w:rsid w:val="00E05233"/>
    <w:rsid w:val="00E11C81"/>
    <w:rsid w:val="00E122CD"/>
    <w:rsid w:val="00E122E7"/>
    <w:rsid w:val="00E12BFD"/>
    <w:rsid w:val="00E140AF"/>
    <w:rsid w:val="00E14352"/>
    <w:rsid w:val="00E1527D"/>
    <w:rsid w:val="00E17E41"/>
    <w:rsid w:val="00E17F7B"/>
    <w:rsid w:val="00E206EE"/>
    <w:rsid w:val="00E21871"/>
    <w:rsid w:val="00E21C64"/>
    <w:rsid w:val="00E239A1"/>
    <w:rsid w:val="00E24813"/>
    <w:rsid w:val="00E256A1"/>
    <w:rsid w:val="00E270E7"/>
    <w:rsid w:val="00E30C48"/>
    <w:rsid w:val="00E30D8B"/>
    <w:rsid w:val="00E30EAB"/>
    <w:rsid w:val="00E3371C"/>
    <w:rsid w:val="00E34C8A"/>
    <w:rsid w:val="00E34F6A"/>
    <w:rsid w:val="00E35BFA"/>
    <w:rsid w:val="00E362FE"/>
    <w:rsid w:val="00E37FA5"/>
    <w:rsid w:val="00E461F3"/>
    <w:rsid w:val="00E46BC3"/>
    <w:rsid w:val="00E47054"/>
    <w:rsid w:val="00E47C91"/>
    <w:rsid w:val="00E51710"/>
    <w:rsid w:val="00E51F9F"/>
    <w:rsid w:val="00E524A7"/>
    <w:rsid w:val="00E52A51"/>
    <w:rsid w:val="00E5425E"/>
    <w:rsid w:val="00E562DA"/>
    <w:rsid w:val="00E568A4"/>
    <w:rsid w:val="00E57245"/>
    <w:rsid w:val="00E607FD"/>
    <w:rsid w:val="00E6174F"/>
    <w:rsid w:val="00E62336"/>
    <w:rsid w:val="00E71812"/>
    <w:rsid w:val="00E71A87"/>
    <w:rsid w:val="00E72DC4"/>
    <w:rsid w:val="00E736E6"/>
    <w:rsid w:val="00E73DAA"/>
    <w:rsid w:val="00E73EB3"/>
    <w:rsid w:val="00E74C2F"/>
    <w:rsid w:val="00E74CBB"/>
    <w:rsid w:val="00E75713"/>
    <w:rsid w:val="00E77937"/>
    <w:rsid w:val="00E80528"/>
    <w:rsid w:val="00E8086C"/>
    <w:rsid w:val="00E83183"/>
    <w:rsid w:val="00E83189"/>
    <w:rsid w:val="00E857A6"/>
    <w:rsid w:val="00E86DFC"/>
    <w:rsid w:val="00E912B0"/>
    <w:rsid w:val="00E92AD3"/>
    <w:rsid w:val="00E9333B"/>
    <w:rsid w:val="00E93E44"/>
    <w:rsid w:val="00E93F2B"/>
    <w:rsid w:val="00E954CA"/>
    <w:rsid w:val="00E95D66"/>
    <w:rsid w:val="00E9798D"/>
    <w:rsid w:val="00EA3E44"/>
    <w:rsid w:val="00EA4B74"/>
    <w:rsid w:val="00EA5A8E"/>
    <w:rsid w:val="00EA644E"/>
    <w:rsid w:val="00EA6959"/>
    <w:rsid w:val="00EA6B18"/>
    <w:rsid w:val="00EA7504"/>
    <w:rsid w:val="00EB2448"/>
    <w:rsid w:val="00EB2CC6"/>
    <w:rsid w:val="00EB330A"/>
    <w:rsid w:val="00EB6C29"/>
    <w:rsid w:val="00EB6F5B"/>
    <w:rsid w:val="00EB78B3"/>
    <w:rsid w:val="00EC2639"/>
    <w:rsid w:val="00EC333C"/>
    <w:rsid w:val="00EC3DAF"/>
    <w:rsid w:val="00EC4615"/>
    <w:rsid w:val="00EC62F4"/>
    <w:rsid w:val="00EC71D6"/>
    <w:rsid w:val="00EC78C3"/>
    <w:rsid w:val="00ED238C"/>
    <w:rsid w:val="00ED2AF2"/>
    <w:rsid w:val="00ED2CD2"/>
    <w:rsid w:val="00ED403A"/>
    <w:rsid w:val="00ED481E"/>
    <w:rsid w:val="00ED552F"/>
    <w:rsid w:val="00ED6CC9"/>
    <w:rsid w:val="00EE021D"/>
    <w:rsid w:val="00EE1806"/>
    <w:rsid w:val="00EE1D6C"/>
    <w:rsid w:val="00EE2352"/>
    <w:rsid w:val="00EE3BA7"/>
    <w:rsid w:val="00EE485A"/>
    <w:rsid w:val="00EF0490"/>
    <w:rsid w:val="00EF1041"/>
    <w:rsid w:val="00EF18FD"/>
    <w:rsid w:val="00EF2FF9"/>
    <w:rsid w:val="00EF3FA6"/>
    <w:rsid w:val="00EF42CD"/>
    <w:rsid w:val="00EF550E"/>
    <w:rsid w:val="00EF5DD7"/>
    <w:rsid w:val="00EF6AAF"/>
    <w:rsid w:val="00F01F31"/>
    <w:rsid w:val="00F034DA"/>
    <w:rsid w:val="00F04C29"/>
    <w:rsid w:val="00F04D6F"/>
    <w:rsid w:val="00F071D4"/>
    <w:rsid w:val="00F10E6F"/>
    <w:rsid w:val="00F11FFD"/>
    <w:rsid w:val="00F12DFE"/>
    <w:rsid w:val="00F1418D"/>
    <w:rsid w:val="00F141D3"/>
    <w:rsid w:val="00F15567"/>
    <w:rsid w:val="00F16722"/>
    <w:rsid w:val="00F167FB"/>
    <w:rsid w:val="00F16DC5"/>
    <w:rsid w:val="00F17778"/>
    <w:rsid w:val="00F17E43"/>
    <w:rsid w:val="00F229DD"/>
    <w:rsid w:val="00F233DE"/>
    <w:rsid w:val="00F23835"/>
    <w:rsid w:val="00F24B6B"/>
    <w:rsid w:val="00F24CB6"/>
    <w:rsid w:val="00F25708"/>
    <w:rsid w:val="00F26CFB"/>
    <w:rsid w:val="00F30AD4"/>
    <w:rsid w:val="00F30CB0"/>
    <w:rsid w:val="00F31E65"/>
    <w:rsid w:val="00F32C51"/>
    <w:rsid w:val="00F32CF1"/>
    <w:rsid w:val="00F331BB"/>
    <w:rsid w:val="00F36B66"/>
    <w:rsid w:val="00F37151"/>
    <w:rsid w:val="00F41633"/>
    <w:rsid w:val="00F41F5F"/>
    <w:rsid w:val="00F45051"/>
    <w:rsid w:val="00F45092"/>
    <w:rsid w:val="00F45849"/>
    <w:rsid w:val="00F506FC"/>
    <w:rsid w:val="00F51AFE"/>
    <w:rsid w:val="00F52793"/>
    <w:rsid w:val="00F56D81"/>
    <w:rsid w:val="00F577FD"/>
    <w:rsid w:val="00F60C80"/>
    <w:rsid w:val="00F62443"/>
    <w:rsid w:val="00F62DD0"/>
    <w:rsid w:val="00F65C69"/>
    <w:rsid w:val="00F66EA9"/>
    <w:rsid w:val="00F7023B"/>
    <w:rsid w:val="00F724D0"/>
    <w:rsid w:val="00F73166"/>
    <w:rsid w:val="00F73A14"/>
    <w:rsid w:val="00F73A3A"/>
    <w:rsid w:val="00F73E88"/>
    <w:rsid w:val="00F74CC0"/>
    <w:rsid w:val="00F75759"/>
    <w:rsid w:val="00F75E63"/>
    <w:rsid w:val="00F762F2"/>
    <w:rsid w:val="00F77D0C"/>
    <w:rsid w:val="00F84039"/>
    <w:rsid w:val="00F877F9"/>
    <w:rsid w:val="00F87C3C"/>
    <w:rsid w:val="00F9019B"/>
    <w:rsid w:val="00F90B49"/>
    <w:rsid w:val="00F90E07"/>
    <w:rsid w:val="00F90EF7"/>
    <w:rsid w:val="00F917AA"/>
    <w:rsid w:val="00F92A5A"/>
    <w:rsid w:val="00F9487B"/>
    <w:rsid w:val="00F94A77"/>
    <w:rsid w:val="00F94D65"/>
    <w:rsid w:val="00F9557B"/>
    <w:rsid w:val="00F95FEE"/>
    <w:rsid w:val="00F96367"/>
    <w:rsid w:val="00F967AF"/>
    <w:rsid w:val="00F96820"/>
    <w:rsid w:val="00F96A11"/>
    <w:rsid w:val="00F9719B"/>
    <w:rsid w:val="00FA0128"/>
    <w:rsid w:val="00FA17B4"/>
    <w:rsid w:val="00FA1FB1"/>
    <w:rsid w:val="00FA3D31"/>
    <w:rsid w:val="00FA4067"/>
    <w:rsid w:val="00FA46A6"/>
    <w:rsid w:val="00FA4A89"/>
    <w:rsid w:val="00FA65D4"/>
    <w:rsid w:val="00FB01E4"/>
    <w:rsid w:val="00FB24FD"/>
    <w:rsid w:val="00FB35FF"/>
    <w:rsid w:val="00FB3FB8"/>
    <w:rsid w:val="00FB548A"/>
    <w:rsid w:val="00FB64B9"/>
    <w:rsid w:val="00FB7A3C"/>
    <w:rsid w:val="00FC1157"/>
    <w:rsid w:val="00FC23FB"/>
    <w:rsid w:val="00FC2438"/>
    <w:rsid w:val="00FC4AA6"/>
    <w:rsid w:val="00FC6309"/>
    <w:rsid w:val="00FC6A0E"/>
    <w:rsid w:val="00FC7368"/>
    <w:rsid w:val="00FD2AAA"/>
    <w:rsid w:val="00FD31B0"/>
    <w:rsid w:val="00FD42A8"/>
    <w:rsid w:val="00FD64AB"/>
    <w:rsid w:val="00FE1CEF"/>
    <w:rsid w:val="00FE20C5"/>
    <w:rsid w:val="00FE2339"/>
    <w:rsid w:val="00FE2E01"/>
    <w:rsid w:val="00FE66E2"/>
    <w:rsid w:val="00FE6CD6"/>
    <w:rsid w:val="00FF04D0"/>
    <w:rsid w:val="00FF05C0"/>
    <w:rsid w:val="00FF1A99"/>
    <w:rsid w:val="00FF20C8"/>
    <w:rsid w:val="00FF2BB6"/>
    <w:rsid w:val="00FF3174"/>
    <w:rsid w:val="00FF49B3"/>
    <w:rsid w:val="00FF667F"/>
    <w:rsid w:val="00FF66A9"/>
    <w:rsid w:val="00FF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DD89"/>
  <w15:docId w15:val="{0768C072-081E-4E5C-ADED-780809B2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spacing w:line="240" w:lineRule="auto"/>
      <w:jc w:val="left"/>
      <w:outlineLvl w:val="0"/>
    </w:pPr>
    <w:rPr>
      <w:smallCaps/>
      <w:sz w:val="48"/>
      <w:szCs w:val="48"/>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nhideWhenUsed/>
    <w:qFormat/>
    <w:pPr>
      <w:spacing w:line="240" w:lineRule="auto"/>
      <w:jc w:val="left"/>
      <w:outlineLvl w:val="1"/>
    </w:pPr>
    <w:rPr>
      <w:smallCaps/>
      <w:sz w:val="36"/>
      <w:szCs w:val="36"/>
    </w:rPr>
  </w:style>
  <w:style w:type="paragraph" w:styleId="Heading3">
    <w:name w:val="heading 3"/>
    <w:basedOn w:val="Normal"/>
    <w:next w:val="Normal"/>
    <w:link w:val="Heading3Char"/>
    <w:uiPriority w:val="9"/>
    <w:unhideWhenUsed/>
    <w:qFormat/>
    <w:pPr>
      <w:spacing w:line="240" w:lineRule="auto"/>
      <w:jc w:val="left"/>
      <w:outlineLvl w:val="2"/>
    </w:pPr>
    <w:rPr>
      <w:smallCaps/>
      <w:sz w:val="32"/>
      <w:szCs w:val="32"/>
    </w:rPr>
  </w:style>
  <w:style w:type="paragraph" w:styleId="Heading4">
    <w:name w:val="heading 4"/>
    <w:basedOn w:val="Normal"/>
    <w:next w:val="Normal"/>
    <w:link w:val="Heading4Char"/>
    <w:uiPriority w:val="9"/>
    <w:unhideWhenUsed/>
    <w:qFormat/>
    <w:rsid w:val="00051535"/>
    <w:pPr>
      <w:spacing w:line="240" w:lineRule="auto"/>
      <w:jc w:val="left"/>
      <w:outlineLvl w:val="3"/>
    </w:pPr>
    <w:rPr>
      <w:b/>
      <w:sz w:val="32"/>
      <w:szCs w:val="28"/>
    </w:rPr>
  </w:style>
  <w:style w:type="paragraph" w:styleId="Heading5">
    <w:name w:val="heading 5"/>
    <w:aliases w:val="H5"/>
    <w:basedOn w:val="Normal"/>
    <w:next w:val="Normal"/>
    <w:link w:val="Heading5Char"/>
    <w:uiPriority w:val="9"/>
    <w:unhideWhenUsed/>
    <w:qFormat/>
    <w:pPr>
      <w:spacing w:line="240" w:lineRule="auto"/>
      <w:jc w:val="left"/>
      <w:outlineLvl w:val="4"/>
    </w:pPr>
    <w:rPr>
      <w:i/>
    </w:rPr>
  </w:style>
  <w:style w:type="paragraph" w:styleId="Heading6">
    <w:name w:val="heading 6"/>
    <w:basedOn w:val="Normal"/>
    <w:next w:val="Normal"/>
    <w:link w:val="Heading6Char"/>
    <w:uiPriority w:val="9"/>
    <w:unhideWhenUsed/>
    <w:qFormat/>
    <w:pPr>
      <w:spacing w:after="0"/>
      <w:jc w:val="left"/>
      <w:outlineLvl w:val="5"/>
    </w:pPr>
    <w:rPr>
      <w:smallCaps/>
      <w:color w:val="C0504D"/>
      <w:sz w:val="22"/>
      <w:szCs w:val="22"/>
    </w:rPr>
  </w:style>
  <w:style w:type="paragraph" w:styleId="Heading7">
    <w:name w:val="heading 7"/>
    <w:basedOn w:val="Normal"/>
    <w:next w:val="Normal"/>
    <w:link w:val="Heading7Char"/>
    <w:uiPriority w:val="9"/>
    <w:unhideWhenUsed/>
    <w:qFormat/>
    <w:rsid w:val="00446CE6"/>
    <w:pPr>
      <w:spacing w:after="0"/>
      <w:jc w:val="left"/>
      <w:outlineLvl w:val="6"/>
    </w:pPr>
    <w:rPr>
      <w:rFonts w:ascii="High Tower Text" w:eastAsiaTheme="minorEastAsia" w:hAnsi="High Tower Text" w:cstheme="minorBidi"/>
      <w:b/>
      <w:smallCaps/>
      <w:color w:val="C0504D" w:themeColor="accent2"/>
      <w:spacing w:val="10"/>
      <w:szCs w:val="20"/>
      <w:lang w:bidi="en-US"/>
    </w:rPr>
  </w:style>
  <w:style w:type="paragraph" w:styleId="Heading8">
    <w:name w:val="heading 8"/>
    <w:basedOn w:val="Normal"/>
    <w:next w:val="Normal"/>
    <w:link w:val="Heading8Char"/>
    <w:uiPriority w:val="9"/>
    <w:semiHidden/>
    <w:unhideWhenUsed/>
    <w:qFormat/>
    <w:rsid w:val="00446CE6"/>
    <w:pPr>
      <w:spacing w:after="0"/>
      <w:jc w:val="left"/>
      <w:outlineLvl w:val="7"/>
    </w:pPr>
    <w:rPr>
      <w:rFonts w:ascii="High Tower Text" w:eastAsiaTheme="minorEastAsia" w:hAnsi="High Tower Text" w:cstheme="minorBidi"/>
      <w:b/>
      <w:i/>
      <w:smallCaps/>
      <w:color w:val="943634" w:themeColor="accent2" w:themeShade="BF"/>
      <w:szCs w:val="20"/>
      <w:lang w:bidi="en-US"/>
    </w:rPr>
  </w:style>
  <w:style w:type="paragraph" w:styleId="Heading9">
    <w:name w:val="heading 9"/>
    <w:basedOn w:val="Normal"/>
    <w:next w:val="Normal"/>
    <w:link w:val="Heading9Char"/>
    <w:uiPriority w:val="9"/>
    <w:semiHidden/>
    <w:unhideWhenUsed/>
    <w:qFormat/>
    <w:rsid w:val="00446CE6"/>
    <w:pPr>
      <w:spacing w:after="0"/>
      <w:jc w:val="left"/>
      <w:outlineLvl w:val="8"/>
    </w:pPr>
    <w:rPr>
      <w:rFonts w:ascii="High Tower Text" w:eastAsiaTheme="minorEastAsia" w:hAnsi="High Tower Text" w:cstheme="minorBidi"/>
      <w:b/>
      <w:i/>
      <w:smallCaps/>
      <w:color w:val="622423" w:themeColor="accent2" w:themeShade="7F"/>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top w:val="single" w:sz="12" w:space="1" w:color="C0504D"/>
      </w:pBdr>
      <w:spacing w:line="240" w:lineRule="auto"/>
      <w:jc w:val="right"/>
    </w:pPr>
    <w:rPr>
      <w:smallCaps/>
      <w:sz w:val="72"/>
      <w:szCs w:val="72"/>
    </w:rPr>
  </w:style>
  <w:style w:type="paragraph" w:styleId="Subtitle">
    <w:name w:val="Subtitle"/>
    <w:basedOn w:val="Normal"/>
    <w:next w:val="Normal"/>
    <w:link w:val="SubtitleChar"/>
    <w:uiPriority w:val="11"/>
    <w:qFormat/>
    <w:pPr>
      <w:spacing w:after="720" w:line="240" w:lineRule="auto"/>
      <w:jc w:val="right"/>
    </w:pPr>
    <w:rPr>
      <w:rFonts w:ascii="Cambria" w:eastAsia="Cambria" w:hAnsi="Cambria" w:cs="Cambria"/>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83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Footnote"/>
    <w:link w:val="NoSpacingChar"/>
    <w:uiPriority w:val="1"/>
    <w:qFormat/>
    <w:rsid w:val="00A20EBE"/>
    <w:pPr>
      <w:spacing w:after="0" w:line="240" w:lineRule="auto"/>
    </w:pPr>
    <w:rPr>
      <w:sz w:val="20"/>
    </w:rPr>
  </w:style>
  <w:style w:type="character" w:styleId="FootnoteReference">
    <w:name w:val="footnote reference"/>
    <w:basedOn w:val="DefaultParagraphFont"/>
    <w:semiHidden/>
    <w:rsid w:val="00710EB1"/>
    <w:rPr>
      <w:vertAlign w:val="superscript"/>
    </w:rPr>
  </w:style>
  <w:style w:type="character" w:styleId="Hyperlink">
    <w:name w:val="Hyperlink"/>
    <w:basedOn w:val="DefaultParagraphFont"/>
    <w:unhideWhenUsed/>
    <w:rsid w:val="00861560"/>
    <w:rPr>
      <w:color w:val="0000FF" w:themeColor="hyperlink"/>
      <w:u w:val="single"/>
    </w:rPr>
  </w:style>
  <w:style w:type="character" w:styleId="UnresolvedMention">
    <w:name w:val="Unresolved Mention"/>
    <w:basedOn w:val="DefaultParagraphFont"/>
    <w:uiPriority w:val="99"/>
    <w:semiHidden/>
    <w:unhideWhenUsed/>
    <w:rsid w:val="00861560"/>
    <w:rPr>
      <w:color w:val="605E5C"/>
      <w:shd w:val="clear" w:color="auto" w:fill="E1DFDD"/>
    </w:rPr>
  </w:style>
  <w:style w:type="paragraph" w:styleId="FootnoteText">
    <w:name w:val="footnote text"/>
    <w:basedOn w:val="Normal"/>
    <w:link w:val="FootnoteTextChar"/>
    <w:semiHidden/>
    <w:unhideWhenUsed/>
    <w:rsid w:val="0034111D"/>
    <w:pPr>
      <w:spacing w:after="0" w:line="240" w:lineRule="auto"/>
    </w:pPr>
    <w:rPr>
      <w:sz w:val="20"/>
      <w:szCs w:val="20"/>
    </w:rPr>
  </w:style>
  <w:style w:type="character" w:customStyle="1" w:styleId="FootnoteTextChar">
    <w:name w:val="Footnote Text Char"/>
    <w:basedOn w:val="DefaultParagraphFont"/>
    <w:link w:val="FootnoteText"/>
    <w:semiHidden/>
    <w:rsid w:val="0034111D"/>
    <w:rPr>
      <w:sz w:val="20"/>
      <w:szCs w:val="20"/>
    </w:rPr>
  </w:style>
  <w:style w:type="character" w:styleId="FollowedHyperlink">
    <w:name w:val="FollowedHyperlink"/>
    <w:basedOn w:val="DefaultParagraphFont"/>
    <w:uiPriority w:val="99"/>
    <w:semiHidden/>
    <w:unhideWhenUsed/>
    <w:rsid w:val="00C16457"/>
    <w:rPr>
      <w:color w:val="800080" w:themeColor="followedHyperlink"/>
      <w:u w:val="single"/>
    </w:rPr>
  </w:style>
  <w:style w:type="paragraph" w:styleId="Header">
    <w:name w:val="header"/>
    <w:basedOn w:val="Normal"/>
    <w:link w:val="HeaderChar"/>
    <w:uiPriority w:val="99"/>
    <w:unhideWhenUsed/>
    <w:rsid w:val="0068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A27"/>
  </w:style>
  <w:style w:type="paragraph" w:styleId="Footer">
    <w:name w:val="footer"/>
    <w:basedOn w:val="Normal"/>
    <w:link w:val="FooterChar"/>
    <w:uiPriority w:val="99"/>
    <w:unhideWhenUsed/>
    <w:rsid w:val="0068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A27"/>
  </w:style>
  <w:style w:type="character" w:customStyle="1" w:styleId="Heading7Char">
    <w:name w:val="Heading 7 Char"/>
    <w:basedOn w:val="DefaultParagraphFont"/>
    <w:link w:val="Heading7"/>
    <w:uiPriority w:val="9"/>
    <w:rsid w:val="00446CE6"/>
    <w:rPr>
      <w:rFonts w:ascii="High Tower Text" w:eastAsiaTheme="minorEastAsia" w:hAnsi="High Tower Text" w:cstheme="minorBidi"/>
      <w:b/>
      <w:smallCaps/>
      <w:color w:val="C0504D" w:themeColor="accent2"/>
      <w:spacing w:val="10"/>
      <w:szCs w:val="20"/>
      <w:lang w:bidi="en-US"/>
    </w:rPr>
  </w:style>
  <w:style w:type="character" w:customStyle="1" w:styleId="Heading8Char">
    <w:name w:val="Heading 8 Char"/>
    <w:basedOn w:val="DefaultParagraphFont"/>
    <w:link w:val="Heading8"/>
    <w:uiPriority w:val="9"/>
    <w:semiHidden/>
    <w:rsid w:val="00446CE6"/>
    <w:rPr>
      <w:rFonts w:ascii="High Tower Text" w:eastAsiaTheme="minorEastAsia" w:hAnsi="High Tower Text" w:cstheme="minorBidi"/>
      <w:b/>
      <w:i/>
      <w:smallCaps/>
      <w:color w:val="943634" w:themeColor="accent2" w:themeShade="BF"/>
      <w:szCs w:val="20"/>
      <w:lang w:bidi="en-US"/>
    </w:rPr>
  </w:style>
  <w:style w:type="character" w:customStyle="1" w:styleId="Heading9Char">
    <w:name w:val="Heading 9 Char"/>
    <w:basedOn w:val="DefaultParagraphFont"/>
    <w:link w:val="Heading9"/>
    <w:uiPriority w:val="9"/>
    <w:semiHidden/>
    <w:rsid w:val="00446CE6"/>
    <w:rPr>
      <w:rFonts w:ascii="High Tower Text" w:eastAsiaTheme="minorEastAsia" w:hAnsi="High Tower Text" w:cstheme="minorBidi"/>
      <w:b/>
      <w:i/>
      <w:smallCaps/>
      <w:color w:val="622423" w:themeColor="accent2" w:themeShade="7F"/>
      <w:szCs w:val="20"/>
      <w:lang w:bidi="en-US"/>
    </w:rPr>
  </w:style>
  <w:style w:type="character" w:styleId="Emphasis">
    <w:name w:val="Emphasis"/>
    <w:uiPriority w:val="20"/>
    <w:qFormat/>
    <w:rsid w:val="00446CE6"/>
    <w:rPr>
      <w:b/>
      <w:i/>
      <w:spacing w:val="10"/>
    </w:rPr>
  </w:style>
  <w:style w:type="paragraph" w:styleId="ListParagraph">
    <w:name w:val="List Paragraph"/>
    <w:basedOn w:val="Normal"/>
    <w:uiPriority w:val="34"/>
    <w:qFormat/>
    <w:rsid w:val="00446CE6"/>
    <w:pPr>
      <w:ind w:left="720"/>
      <w:contextualSpacing/>
    </w:pPr>
    <w:rPr>
      <w:rFonts w:ascii="High Tower Text" w:eastAsiaTheme="minorEastAsia" w:hAnsi="High Tower Text" w:cstheme="minorBidi"/>
      <w:szCs w:val="20"/>
      <w:lang w:bidi="en-US"/>
    </w:rPr>
  </w:style>
  <w:style w:type="character" w:customStyle="1" w:styleId="Heading1Char">
    <w:name w:val="Heading 1 Char"/>
    <w:basedOn w:val="DefaultParagraphFont"/>
    <w:link w:val="Heading1"/>
    <w:rsid w:val="00446CE6"/>
    <w:rPr>
      <w:smallCaps/>
      <w:sz w:val="48"/>
      <w:szCs w:val="48"/>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rsid w:val="00446CE6"/>
    <w:rPr>
      <w:smallCaps/>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446CE6"/>
    <w:rPr>
      <w:rFonts w:ascii="High Tower Text" w:hAnsi="High Tower Text"/>
      <w:b/>
      <w:i/>
      <w:sz w:val="36"/>
    </w:rPr>
  </w:style>
  <w:style w:type="character" w:customStyle="1" w:styleId="Heading3Char">
    <w:name w:val="Heading 3 Char"/>
    <w:basedOn w:val="DefaultParagraphFont"/>
    <w:link w:val="Heading3"/>
    <w:uiPriority w:val="9"/>
    <w:rsid w:val="00446CE6"/>
    <w:rPr>
      <w:smallCaps/>
      <w:sz w:val="32"/>
      <w:szCs w:val="32"/>
    </w:rPr>
  </w:style>
  <w:style w:type="character" w:customStyle="1" w:styleId="Heading5Char">
    <w:name w:val="Heading 5 Char"/>
    <w:aliases w:val="H5 Char"/>
    <w:basedOn w:val="DefaultParagraphFont"/>
    <w:link w:val="Heading5"/>
    <w:uiPriority w:val="9"/>
    <w:rsid w:val="00446CE6"/>
    <w:rPr>
      <w:i/>
    </w:rPr>
  </w:style>
  <w:style w:type="character" w:styleId="Strong">
    <w:name w:val="Strong"/>
    <w:uiPriority w:val="22"/>
    <w:qFormat/>
    <w:rsid w:val="00446CE6"/>
    <w:rPr>
      <w:b/>
      <w:color w:val="C0504D" w:themeColor="accent2"/>
    </w:rPr>
  </w:style>
  <w:style w:type="character" w:customStyle="1" w:styleId="Heading4Char">
    <w:name w:val="Heading 4 Char"/>
    <w:basedOn w:val="DefaultParagraphFont"/>
    <w:link w:val="Heading4"/>
    <w:uiPriority w:val="9"/>
    <w:rsid w:val="00051535"/>
    <w:rPr>
      <w:b/>
      <w:sz w:val="32"/>
      <w:szCs w:val="28"/>
    </w:rPr>
  </w:style>
  <w:style w:type="character" w:customStyle="1" w:styleId="Heading6Char">
    <w:name w:val="Heading 6 Char"/>
    <w:basedOn w:val="DefaultParagraphFont"/>
    <w:link w:val="Heading6"/>
    <w:uiPriority w:val="9"/>
    <w:rsid w:val="00446CE6"/>
    <w:rPr>
      <w:smallCaps/>
      <w:color w:val="C0504D"/>
      <w:sz w:val="22"/>
      <w:szCs w:val="22"/>
    </w:rPr>
  </w:style>
  <w:style w:type="paragraph" w:styleId="Caption">
    <w:name w:val="caption"/>
    <w:basedOn w:val="Normal"/>
    <w:next w:val="Normal"/>
    <w:unhideWhenUsed/>
    <w:qFormat/>
    <w:rsid w:val="00446CE6"/>
    <w:rPr>
      <w:rFonts w:ascii="High Tower Text" w:eastAsiaTheme="minorEastAsia" w:hAnsi="High Tower Text" w:cstheme="minorBidi"/>
      <w:b/>
      <w:bCs/>
      <w:caps/>
      <w:sz w:val="16"/>
      <w:szCs w:val="18"/>
      <w:lang w:bidi="en-US"/>
    </w:rPr>
  </w:style>
  <w:style w:type="character" w:customStyle="1" w:styleId="TitleChar">
    <w:name w:val="Title Char"/>
    <w:basedOn w:val="DefaultParagraphFont"/>
    <w:link w:val="Title"/>
    <w:uiPriority w:val="10"/>
    <w:rsid w:val="00446CE6"/>
    <w:rPr>
      <w:smallCaps/>
      <w:sz w:val="72"/>
      <w:szCs w:val="72"/>
    </w:rPr>
  </w:style>
  <w:style w:type="character" w:customStyle="1" w:styleId="SubtitleChar">
    <w:name w:val="Subtitle Char"/>
    <w:basedOn w:val="DefaultParagraphFont"/>
    <w:link w:val="Subtitle"/>
    <w:uiPriority w:val="11"/>
    <w:rsid w:val="00446CE6"/>
    <w:rPr>
      <w:rFonts w:ascii="Cambria" w:eastAsia="Cambria" w:hAnsi="Cambria" w:cs="Cambria"/>
    </w:rPr>
  </w:style>
  <w:style w:type="paragraph" w:styleId="BodyText">
    <w:name w:val="Body Text"/>
    <w:basedOn w:val="Normal"/>
    <w:link w:val="BodyTextChar"/>
    <w:rsid w:val="00446CE6"/>
    <w:pPr>
      <w:ind w:firstLine="720"/>
    </w:pPr>
    <w:rPr>
      <w:rFonts w:ascii="Cambria" w:eastAsia="Times New Roman" w:hAnsi="Cambria" w:cs="Times New Roman"/>
      <w:sz w:val="22"/>
      <w:szCs w:val="22"/>
      <w:lang w:bidi="en-US"/>
    </w:rPr>
  </w:style>
  <w:style w:type="character" w:customStyle="1" w:styleId="BodyTextChar">
    <w:name w:val="Body Text Char"/>
    <w:basedOn w:val="DefaultParagraphFont"/>
    <w:link w:val="BodyText"/>
    <w:rsid w:val="00446CE6"/>
    <w:rPr>
      <w:rFonts w:ascii="Cambria" w:eastAsia="Times New Roman" w:hAnsi="Cambria" w:cs="Times New Roman"/>
      <w:sz w:val="22"/>
      <w:szCs w:val="22"/>
      <w:lang w:bidi="en-US"/>
    </w:rPr>
  </w:style>
  <w:style w:type="paragraph" w:styleId="Quote">
    <w:name w:val="Quote"/>
    <w:basedOn w:val="Normal"/>
    <w:next w:val="Normal"/>
    <w:link w:val="QuoteChar"/>
    <w:uiPriority w:val="29"/>
    <w:qFormat/>
    <w:rsid w:val="00446CE6"/>
    <w:rPr>
      <w:rFonts w:ascii="High Tower Text" w:eastAsiaTheme="minorEastAsia" w:hAnsi="High Tower Text" w:cstheme="minorBidi"/>
      <w:i/>
      <w:szCs w:val="20"/>
      <w:lang w:bidi="en-US"/>
    </w:rPr>
  </w:style>
  <w:style w:type="character" w:customStyle="1" w:styleId="QuoteChar">
    <w:name w:val="Quote Char"/>
    <w:basedOn w:val="DefaultParagraphFont"/>
    <w:link w:val="Quote"/>
    <w:uiPriority w:val="29"/>
    <w:rsid w:val="00446CE6"/>
    <w:rPr>
      <w:rFonts w:ascii="High Tower Text" w:eastAsiaTheme="minorEastAsia" w:hAnsi="High Tower Text" w:cstheme="minorBidi"/>
      <w:i/>
      <w:szCs w:val="20"/>
      <w:lang w:bidi="en-US"/>
    </w:rPr>
  </w:style>
  <w:style w:type="paragraph" w:styleId="IntenseQuote">
    <w:name w:val="Intense Quote"/>
    <w:basedOn w:val="Normal"/>
    <w:next w:val="Normal"/>
    <w:link w:val="IntenseQuoteChar"/>
    <w:uiPriority w:val="30"/>
    <w:qFormat/>
    <w:rsid w:val="00446CE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High Tower Text" w:eastAsiaTheme="minorEastAsia" w:hAnsi="High Tower Text" w:cstheme="minorBidi"/>
      <w:b/>
      <w:i/>
      <w:color w:val="FFFFFF" w:themeColor="background1"/>
      <w:szCs w:val="20"/>
      <w:lang w:bidi="en-US"/>
    </w:rPr>
  </w:style>
  <w:style w:type="character" w:customStyle="1" w:styleId="IntenseQuoteChar">
    <w:name w:val="Intense Quote Char"/>
    <w:basedOn w:val="DefaultParagraphFont"/>
    <w:link w:val="IntenseQuote"/>
    <w:uiPriority w:val="30"/>
    <w:rsid w:val="00446CE6"/>
    <w:rPr>
      <w:rFonts w:ascii="High Tower Text" w:eastAsiaTheme="minorEastAsia" w:hAnsi="High Tower Text" w:cstheme="minorBidi"/>
      <w:b/>
      <w:i/>
      <w:color w:val="FFFFFF" w:themeColor="background1"/>
      <w:szCs w:val="20"/>
      <w:shd w:val="clear" w:color="auto" w:fill="C0504D" w:themeFill="accent2"/>
      <w:lang w:bidi="en-US"/>
    </w:rPr>
  </w:style>
  <w:style w:type="character" w:styleId="SubtleEmphasis">
    <w:name w:val="Subtle Emphasis"/>
    <w:uiPriority w:val="19"/>
    <w:qFormat/>
    <w:rsid w:val="00446CE6"/>
    <w:rPr>
      <w:i/>
    </w:rPr>
  </w:style>
  <w:style w:type="character" w:styleId="IntenseEmphasis">
    <w:name w:val="Intense Emphasis"/>
    <w:uiPriority w:val="21"/>
    <w:qFormat/>
    <w:rsid w:val="00446CE6"/>
    <w:rPr>
      <w:b/>
      <w:i/>
      <w:color w:val="C0504D" w:themeColor="accent2"/>
      <w:spacing w:val="10"/>
    </w:rPr>
  </w:style>
  <w:style w:type="character" w:styleId="SubtleReference">
    <w:name w:val="Subtle Reference"/>
    <w:uiPriority w:val="31"/>
    <w:qFormat/>
    <w:rsid w:val="00446CE6"/>
    <w:rPr>
      <w:b/>
    </w:rPr>
  </w:style>
  <w:style w:type="character" w:styleId="IntenseReference">
    <w:name w:val="Intense Reference"/>
    <w:uiPriority w:val="32"/>
    <w:qFormat/>
    <w:rsid w:val="00446CE6"/>
    <w:rPr>
      <w:b/>
      <w:bCs/>
      <w:smallCaps/>
      <w:spacing w:val="5"/>
      <w:sz w:val="22"/>
      <w:szCs w:val="22"/>
      <w:u w:val="single"/>
    </w:rPr>
  </w:style>
  <w:style w:type="character" w:styleId="BookTitle">
    <w:name w:val="Book Title"/>
    <w:uiPriority w:val="33"/>
    <w:qFormat/>
    <w:rsid w:val="00446CE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446CE6"/>
    <w:pPr>
      <w:outlineLvl w:val="9"/>
    </w:pPr>
    <w:rPr>
      <w:rFonts w:ascii="High Tower Text" w:eastAsiaTheme="minorEastAsia" w:hAnsi="High Tower Text" w:cstheme="minorBidi"/>
      <w:i/>
      <w:szCs w:val="20"/>
      <w:lang w:bidi="en-US"/>
    </w:rPr>
  </w:style>
  <w:style w:type="paragraph" w:customStyle="1" w:styleId="Style1">
    <w:name w:val="Style1"/>
    <w:basedOn w:val="Heading3"/>
    <w:autoRedefine/>
    <w:qFormat/>
    <w:rsid w:val="00446CE6"/>
    <w:rPr>
      <w:rFonts w:ascii="High Tower Text" w:eastAsiaTheme="minorEastAsia" w:hAnsi="High Tower Text" w:cstheme="minorBidi"/>
      <w:i/>
      <w:sz w:val="24"/>
      <w:szCs w:val="20"/>
      <w:lang w:bidi="en-US"/>
    </w:rPr>
  </w:style>
  <w:style w:type="paragraph" w:customStyle="1" w:styleId="Style2">
    <w:name w:val="Style2"/>
    <w:basedOn w:val="Heading4"/>
    <w:next w:val="Normal"/>
    <w:qFormat/>
    <w:rsid w:val="00446CE6"/>
    <w:rPr>
      <w:rFonts w:ascii="High Tower Text" w:eastAsiaTheme="minorEastAsia" w:hAnsi="High Tower Text" w:cstheme="minorBidi"/>
      <w:szCs w:val="20"/>
      <w:lang w:bidi="en-US"/>
    </w:rPr>
  </w:style>
  <w:style w:type="paragraph" w:customStyle="1" w:styleId="Author">
    <w:name w:val="Author"/>
    <w:basedOn w:val="Normal"/>
    <w:next w:val="Normal"/>
    <w:rsid w:val="00446CE6"/>
    <w:pPr>
      <w:pBdr>
        <w:bottom w:val="single" w:sz="12" w:space="3" w:color="auto"/>
      </w:pBdr>
      <w:jc w:val="center"/>
    </w:pPr>
    <w:rPr>
      <w:rFonts w:ascii="Cambria" w:eastAsia="Times New Roman" w:hAnsi="Cambria" w:cs="Times New Roman"/>
      <w:sz w:val="22"/>
      <w:szCs w:val="22"/>
      <w:lang w:bidi="en-US"/>
    </w:rPr>
  </w:style>
  <w:style w:type="paragraph" w:styleId="ListBullet">
    <w:name w:val="List Bullet"/>
    <w:aliases w:val="UL"/>
    <w:basedOn w:val="Normal"/>
    <w:rsid w:val="00446CE6"/>
    <w:pPr>
      <w:ind w:left="720" w:hanging="360"/>
      <w:jc w:val="left"/>
    </w:pPr>
    <w:rPr>
      <w:rFonts w:ascii="Cambria" w:eastAsia="Times New Roman" w:hAnsi="Cambria" w:cs="Times New Roman"/>
      <w:color w:val="000000"/>
      <w:sz w:val="22"/>
      <w:szCs w:val="22"/>
      <w:lang w:bidi="en-US"/>
    </w:rPr>
  </w:style>
  <w:style w:type="paragraph" w:styleId="ListNumber">
    <w:name w:val="List Number"/>
    <w:aliases w:val="OL,OL1"/>
    <w:basedOn w:val="Normal"/>
    <w:rsid w:val="00446CE6"/>
    <w:pPr>
      <w:ind w:left="720" w:hanging="360"/>
      <w:jc w:val="left"/>
    </w:pPr>
    <w:rPr>
      <w:rFonts w:ascii="Cambria" w:eastAsia="Times New Roman" w:hAnsi="Cambria" w:cs="Times New Roman"/>
      <w:color w:val="000000"/>
      <w:sz w:val="22"/>
      <w:szCs w:val="22"/>
      <w:lang w:bidi="en-US"/>
    </w:rPr>
  </w:style>
  <w:style w:type="paragraph" w:styleId="ListBullet2">
    <w:name w:val="List Bullet 2"/>
    <w:basedOn w:val="Normal"/>
    <w:rsid w:val="00446CE6"/>
    <w:pPr>
      <w:ind w:left="1080" w:hanging="360"/>
      <w:jc w:val="left"/>
    </w:pPr>
    <w:rPr>
      <w:rFonts w:ascii="Cambria" w:eastAsia="Times New Roman" w:hAnsi="Cambria" w:cs="Times New Roman"/>
      <w:sz w:val="22"/>
      <w:szCs w:val="22"/>
      <w:lang w:bidi="en-US"/>
    </w:rPr>
  </w:style>
  <w:style w:type="paragraph" w:customStyle="1" w:styleId="nostyle">
    <w:name w:val="(no style)"/>
    <w:basedOn w:val="Heading1"/>
    <w:rsid w:val="00446CE6"/>
    <w:pPr>
      <w:spacing w:before="480" w:after="0"/>
      <w:contextualSpacing/>
      <w:outlineLvl w:val="9"/>
    </w:pPr>
    <w:rPr>
      <w:rFonts w:ascii="Cambria" w:eastAsia="Times New Roman" w:hAnsi="Cambria" w:cs="Times New Roman"/>
      <w:i/>
      <w:sz w:val="36"/>
      <w:szCs w:val="36"/>
      <w:lang w:bidi="en-US"/>
    </w:rPr>
  </w:style>
  <w:style w:type="character" w:styleId="PageNumber">
    <w:name w:val="page number"/>
    <w:basedOn w:val="DefaultParagraphFont"/>
    <w:rsid w:val="00446CE6"/>
  </w:style>
  <w:style w:type="paragraph" w:customStyle="1" w:styleId="TabE">
    <w:name w:val="TabE"/>
    <w:basedOn w:val="TabD"/>
    <w:next w:val="BodyText"/>
    <w:rsid w:val="00446CE6"/>
  </w:style>
  <w:style w:type="paragraph" w:customStyle="1" w:styleId="TabD">
    <w:name w:val="TabD"/>
    <w:basedOn w:val="TabA"/>
    <w:next w:val="BodyText"/>
    <w:rsid w:val="00446CE6"/>
  </w:style>
  <w:style w:type="paragraph" w:customStyle="1" w:styleId="TabA">
    <w:name w:val="TabA"/>
    <w:basedOn w:val="Normal"/>
    <w:next w:val="BodyText"/>
    <w:rsid w:val="00446CE6"/>
    <w:pPr>
      <w:jc w:val="left"/>
    </w:pPr>
    <w:rPr>
      <w:rFonts w:ascii="Cambria" w:eastAsia="Times New Roman" w:hAnsi="Cambria" w:cs="Times New Roman"/>
      <w:sz w:val="22"/>
      <w:szCs w:val="22"/>
      <w:lang w:bidi="en-US"/>
    </w:rPr>
  </w:style>
  <w:style w:type="paragraph" w:customStyle="1" w:styleId="Term">
    <w:name w:val="Term"/>
    <w:basedOn w:val="Normal"/>
    <w:next w:val="Definition"/>
    <w:rsid w:val="00446CE6"/>
    <w:pPr>
      <w:jc w:val="left"/>
    </w:pPr>
    <w:rPr>
      <w:rFonts w:ascii="Cambria" w:eastAsia="Times New Roman" w:hAnsi="Cambria" w:cs="Times New Roman"/>
      <w:b/>
      <w:sz w:val="22"/>
      <w:szCs w:val="22"/>
      <w:lang w:bidi="en-US"/>
    </w:rPr>
  </w:style>
  <w:style w:type="paragraph" w:customStyle="1" w:styleId="Definition">
    <w:name w:val="Definition"/>
    <w:basedOn w:val="Term"/>
    <w:next w:val="Normal"/>
    <w:rsid w:val="00446CE6"/>
  </w:style>
  <w:style w:type="paragraph" w:customStyle="1" w:styleId="PageHeader">
    <w:name w:val="PageHeader"/>
    <w:basedOn w:val="Title"/>
    <w:rsid w:val="00446CE6"/>
    <w:pPr>
      <w:pBdr>
        <w:top w:val="single" w:sz="6" w:space="1" w:color="auto"/>
      </w:pBdr>
      <w:spacing w:after="300"/>
      <w:contextualSpacing/>
    </w:pPr>
    <w:rPr>
      <w:rFonts w:ascii="Arial" w:eastAsia="Times New Roman" w:hAnsi="Arial" w:cs="Times New Roman"/>
      <w:b/>
      <w:sz w:val="20"/>
      <w:szCs w:val="52"/>
      <w:lang w:bidi="en-US"/>
    </w:rPr>
  </w:style>
  <w:style w:type="paragraph" w:customStyle="1" w:styleId="Copyright">
    <w:name w:val="Copyright"/>
    <w:basedOn w:val="Normal"/>
    <w:next w:val="Normal"/>
    <w:rsid w:val="00446CE6"/>
    <w:pPr>
      <w:jc w:val="left"/>
    </w:pPr>
    <w:rPr>
      <w:rFonts w:ascii="Cambria" w:eastAsia="Times New Roman" w:hAnsi="Cambria" w:cs="Times New Roman"/>
      <w:sz w:val="22"/>
      <w:szCs w:val="22"/>
      <w:lang w:bidi="en-US"/>
    </w:rPr>
  </w:style>
  <w:style w:type="paragraph" w:customStyle="1" w:styleId="TabF">
    <w:name w:val="TabF"/>
    <w:basedOn w:val="TabE"/>
    <w:next w:val="BodyText"/>
    <w:rsid w:val="00446CE6"/>
  </w:style>
  <w:style w:type="paragraph" w:customStyle="1" w:styleId="BodyBlock">
    <w:name w:val="Body Block"/>
    <w:basedOn w:val="Normal"/>
    <w:rsid w:val="00446CE6"/>
    <w:pPr>
      <w:jc w:val="left"/>
    </w:pPr>
    <w:rPr>
      <w:rFonts w:ascii="Cambria" w:eastAsia="Times New Roman" w:hAnsi="Cambria" w:cs="Times New Roman"/>
      <w:sz w:val="22"/>
      <w:szCs w:val="22"/>
      <w:lang w:bidi="en-US"/>
    </w:rPr>
  </w:style>
  <w:style w:type="paragraph" w:customStyle="1" w:styleId="Poetry">
    <w:name w:val="Poetry"/>
    <w:basedOn w:val="Normal"/>
    <w:rsid w:val="00446CE6"/>
    <w:pPr>
      <w:ind w:left="720" w:right="720"/>
      <w:jc w:val="left"/>
    </w:pPr>
    <w:rPr>
      <w:rFonts w:ascii="Cambria" w:eastAsia="Times New Roman" w:hAnsi="Cambria" w:cs="Times New Roman"/>
      <w:sz w:val="22"/>
      <w:szCs w:val="22"/>
      <w:lang w:bidi="en-US"/>
    </w:rPr>
  </w:style>
  <w:style w:type="paragraph" w:customStyle="1" w:styleId="TabB">
    <w:name w:val="TabB"/>
    <w:basedOn w:val="TabA"/>
    <w:next w:val="BodyText"/>
    <w:rsid w:val="00446CE6"/>
  </w:style>
  <w:style w:type="paragraph" w:customStyle="1" w:styleId="TabC">
    <w:name w:val="TabC"/>
    <w:basedOn w:val="TabA"/>
    <w:next w:val="BodyText"/>
    <w:rsid w:val="00446CE6"/>
  </w:style>
  <w:style w:type="paragraph" w:customStyle="1" w:styleId="TableC">
    <w:name w:val="TableC"/>
    <w:basedOn w:val="Normal"/>
    <w:rsid w:val="00446CE6"/>
    <w:pPr>
      <w:spacing w:after="0"/>
      <w:jc w:val="center"/>
    </w:pPr>
    <w:rPr>
      <w:rFonts w:ascii="Cambria" w:eastAsia="Times New Roman" w:hAnsi="Cambria" w:cs="Times New Roman"/>
      <w:b/>
      <w:sz w:val="22"/>
      <w:szCs w:val="22"/>
      <w:lang w:bidi="en-US"/>
    </w:rPr>
  </w:style>
  <w:style w:type="paragraph" w:customStyle="1" w:styleId="TableR">
    <w:name w:val="TableR"/>
    <w:basedOn w:val="Normal"/>
    <w:rsid w:val="00446CE6"/>
    <w:pPr>
      <w:spacing w:after="0"/>
      <w:jc w:val="right"/>
    </w:pPr>
    <w:rPr>
      <w:rFonts w:ascii="Cambria" w:eastAsia="Times New Roman" w:hAnsi="Cambria" w:cs="Times New Roman"/>
      <w:sz w:val="22"/>
      <w:szCs w:val="22"/>
      <w:lang w:bidi="en-US"/>
    </w:rPr>
  </w:style>
  <w:style w:type="paragraph" w:styleId="Bibliography">
    <w:name w:val="Bibliography"/>
    <w:basedOn w:val="Normal"/>
    <w:rsid w:val="00446CE6"/>
    <w:pPr>
      <w:ind w:left="720" w:hanging="720"/>
      <w:jc w:val="left"/>
    </w:pPr>
    <w:rPr>
      <w:rFonts w:ascii="Cambria" w:eastAsia="Times New Roman" w:hAnsi="Cambria" w:cs="Times New Roman"/>
      <w:sz w:val="22"/>
      <w:szCs w:val="22"/>
      <w:lang w:bidi="en-US"/>
    </w:rPr>
  </w:style>
  <w:style w:type="paragraph" w:customStyle="1" w:styleId="Rule">
    <w:name w:val="Rule"/>
    <w:basedOn w:val="Normal"/>
    <w:next w:val="BodyText"/>
    <w:rsid w:val="00446CE6"/>
    <w:pPr>
      <w:pBdr>
        <w:between w:val="single" w:sz="12" w:space="1" w:color="auto"/>
      </w:pBdr>
      <w:jc w:val="center"/>
    </w:pPr>
    <w:rPr>
      <w:rFonts w:ascii="Cambria" w:eastAsia="Times New Roman" w:hAnsi="Cambria" w:cs="Times New Roman"/>
      <w:sz w:val="22"/>
      <w:szCs w:val="22"/>
      <w:lang w:bidi="en-US"/>
    </w:rPr>
  </w:style>
  <w:style w:type="paragraph" w:customStyle="1" w:styleId="Contents">
    <w:name w:val="Contents"/>
    <w:basedOn w:val="Normal"/>
    <w:rsid w:val="00446CE6"/>
    <w:pPr>
      <w:jc w:val="center"/>
    </w:pPr>
    <w:rPr>
      <w:rFonts w:ascii="Cambria" w:eastAsia="Times New Roman" w:hAnsi="Cambria" w:cs="Times New Roman"/>
      <w:b/>
      <w:sz w:val="28"/>
      <w:szCs w:val="22"/>
      <w:lang w:bidi="en-US"/>
    </w:rPr>
  </w:style>
  <w:style w:type="paragraph" w:styleId="TOC1">
    <w:name w:val="toc 1"/>
    <w:basedOn w:val="Normal"/>
    <w:next w:val="Normal"/>
    <w:semiHidden/>
    <w:rsid w:val="00446CE6"/>
    <w:pPr>
      <w:tabs>
        <w:tab w:val="right" w:leader="dot" w:pos="9360"/>
      </w:tabs>
      <w:jc w:val="left"/>
    </w:pPr>
    <w:rPr>
      <w:rFonts w:ascii="Cambria" w:eastAsia="Times New Roman" w:hAnsi="Cambria" w:cs="Times New Roman"/>
      <w:sz w:val="22"/>
      <w:szCs w:val="22"/>
      <w:lang w:bidi="en-US"/>
    </w:rPr>
  </w:style>
  <w:style w:type="paragraph" w:customStyle="1" w:styleId="Bio">
    <w:name w:val="Bio"/>
    <w:basedOn w:val="BodyBlock"/>
    <w:next w:val="BodyBlock"/>
    <w:rsid w:val="00446CE6"/>
    <w:pPr>
      <w:pBdr>
        <w:top w:val="single" w:sz="12" w:space="4" w:color="auto"/>
      </w:pBdr>
      <w:jc w:val="both"/>
    </w:pPr>
  </w:style>
  <w:style w:type="paragraph" w:styleId="TOC2">
    <w:name w:val="toc 2"/>
    <w:basedOn w:val="Normal"/>
    <w:next w:val="Normal"/>
    <w:semiHidden/>
    <w:rsid w:val="00446CE6"/>
    <w:pPr>
      <w:tabs>
        <w:tab w:val="right" w:leader="dot" w:pos="9360"/>
      </w:tabs>
      <w:ind w:left="200"/>
      <w:jc w:val="left"/>
    </w:pPr>
    <w:rPr>
      <w:rFonts w:ascii="Cambria" w:eastAsia="Times New Roman" w:hAnsi="Cambria" w:cs="Times New Roman"/>
      <w:sz w:val="22"/>
      <w:szCs w:val="22"/>
      <w:lang w:bidi="en-US"/>
    </w:rPr>
  </w:style>
  <w:style w:type="paragraph" w:styleId="TOC3">
    <w:name w:val="toc 3"/>
    <w:basedOn w:val="Normal"/>
    <w:next w:val="Normal"/>
    <w:semiHidden/>
    <w:rsid w:val="00446CE6"/>
    <w:pPr>
      <w:tabs>
        <w:tab w:val="right" w:leader="dot" w:pos="9360"/>
      </w:tabs>
      <w:ind w:left="400"/>
      <w:jc w:val="left"/>
    </w:pPr>
    <w:rPr>
      <w:rFonts w:ascii="Cambria" w:eastAsia="Times New Roman" w:hAnsi="Cambria" w:cs="Times New Roman"/>
      <w:sz w:val="22"/>
      <w:szCs w:val="22"/>
      <w:lang w:bidi="en-US"/>
    </w:rPr>
  </w:style>
  <w:style w:type="paragraph" w:styleId="TOC4">
    <w:name w:val="toc 4"/>
    <w:basedOn w:val="Normal"/>
    <w:next w:val="Normal"/>
    <w:semiHidden/>
    <w:rsid w:val="00446CE6"/>
    <w:pPr>
      <w:tabs>
        <w:tab w:val="right" w:leader="dot" w:pos="9360"/>
      </w:tabs>
      <w:ind w:left="600"/>
      <w:jc w:val="left"/>
    </w:pPr>
    <w:rPr>
      <w:rFonts w:ascii="Cambria" w:eastAsia="Times New Roman" w:hAnsi="Cambria" w:cs="Times New Roman"/>
      <w:sz w:val="22"/>
      <w:szCs w:val="22"/>
      <w:lang w:bidi="en-US"/>
    </w:rPr>
  </w:style>
  <w:style w:type="paragraph" w:styleId="TOC5">
    <w:name w:val="toc 5"/>
    <w:basedOn w:val="Normal"/>
    <w:next w:val="Normal"/>
    <w:semiHidden/>
    <w:rsid w:val="00446CE6"/>
    <w:pPr>
      <w:tabs>
        <w:tab w:val="right" w:leader="dot" w:pos="9360"/>
      </w:tabs>
      <w:ind w:left="800"/>
      <w:jc w:val="left"/>
    </w:pPr>
    <w:rPr>
      <w:rFonts w:ascii="Cambria" w:eastAsia="Times New Roman" w:hAnsi="Cambria" w:cs="Times New Roman"/>
      <w:sz w:val="22"/>
      <w:szCs w:val="22"/>
      <w:lang w:bidi="en-US"/>
    </w:rPr>
  </w:style>
  <w:style w:type="paragraph" w:styleId="TOC6">
    <w:name w:val="toc 6"/>
    <w:basedOn w:val="Normal"/>
    <w:next w:val="Normal"/>
    <w:semiHidden/>
    <w:rsid w:val="00446CE6"/>
    <w:pPr>
      <w:tabs>
        <w:tab w:val="right" w:leader="dot" w:pos="9360"/>
      </w:tabs>
      <w:ind w:left="1000"/>
      <w:jc w:val="left"/>
    </w:pPr>
    <w:rPr>
      <w:rFonts w:ascii="Cambria" w:eastAsia="Times New Roman" w:hAnsi="Cambria" w:cs="Times New Roman"/>
      <w:sz w:val="22"/>
      <w:szCs w:val="22"/>
      <w:lang w:bidi="en-US"/>
    </w:rPr>
  </w:style>
  <w:style w:type="paragraph" w:styleId="TOC7">
    <w:name w:val="toc 7"/>
    <w:basedOn w:val="Normal"/>
    <w:next w:val="Normal"/>
    <w:semiHidden/>
    <w:rsid w:val="00446CE6"/>
    <w:pPr>
      <w:tabs>
        <w:tab w:val="right" w:leader="dot" w:pos="9360"/>
      </w:tabs>
      <w:ind w:left="1200"/>
      <w:jc w:val="left"/>
    </w:pPr>
    <w:rPr>
      <w:rFonts w:ascii="Cambria" w:eastAsia="Times New Roman" w:hAnsi="Cambria" w:cs="Times New Roman"/>
      <w:sz w:val="22"/>
      <w:szCs w:val="22"/>
      <w:lang w:bidi="en-US"/>
    </w:rPr>
  </w:style>
  <w:style w:type="paragraph" w:styleId="TOC8">
    <w:name w:val="toc 8"/>
    <w:basedOn w:val="Normal"/>
    <w:next w:val="Normal"/>
    <w:semiHidden/>
    <w:rsid w:val="00446CE6"/>
    <w:pPr>
      <w:tabs>
        <w:tab w:val="right" w:leader="dot" w:pos="9360"/>
      </w:tabs>
      <w:ind w:left="1400"/>
      <w:jc w:val="left"/>
    </w:pPr>
    <w:rPr>
      <w:rFonts w:ascii="Cambria" w:eastAsia="Times New Roman" w:hAnsi="Cambria" w:cs="Times New Roman"/>
      <w:sz w:val="22"/>
      <w:szCs w:val="22"/>
      <w:lang w:bidi="en-US"/>
    </w:rPr>
  </w:style>
  <w:style w:type="paragraph" w:styleId="TOC9">
    <w:name w:val="toc 9"/>
    <w:basedOn w:val="Normal"/>
    <w:next w:val="Normal"/>
    <w:semiHidden/>
    <w:rsid w:val="00446CE6"/>
    <w:pPr>
      <w:tabs>
        <w:tab w:val="right" w:leader="dot" w:pos="9360"/>
      </w:tabs>
      <w:ind w:left="1600"/>
      <w:jc w:val="left"/>
    </w:pPr>
    <w:rPr>
      <w:rFonts w:ascii="Cambria" w:eastAsia="Times New Roman" w:hAnsi="Cambria" w:cs="Times New Roman"/>
      <w:sz w:val="22"/>
      <w:szCs w:val="22"/>
      <w:lang w:bidi="en-US"/>
    </w:rPr>
  </w:style>
  <w:style w:type="paragraph" w:customStyle="1" w:styleId="Quotations">
    <w:name w:val="Quotations"/>
    <w:link w:val="QuotationsChar"/>
    <w:rsid w:val="00446CE6"/>
    <w:pPr>
      <w:overflowPunct w:val="0"/>
      <w:autoSpaceDE w:val="0"/>
      <w:autoSpaceDN w:val="0"/>
      <w:adjustRightInd w:val="0"/>
      <w:spacing w:line="480" w:lineRule="auto"/>
      <w:ind w:left="720" w:right="720"/>
      <w:jc w:val="left"/>
    </w:pPr>
    <w:rPr>
      <w:rFonts w:ascii="Cambria" w:eastAsia="Calibri" w:hAnsi="Cambria" w:cs="Times New Roman"/>
      <w:szCs w:val="22"/>
      <w:lang w:bidi="en-US"/>
    </w:rPr>
  </w:style>
  <w:style w:type="character" w:customStyle="1" w:styleId="QuotationsChar">
    <w:name w:val="Quotations Char"/>
    <w:basedOn w:val="DefaultParagraphFont"/>
    <w:link w:val="Quotations"/>
    <w:rsid w:val="00446CE6"/>
    <w:rPr>
      <w:rFonts w:ascii="Cambria" w:eastAsia="Calibri" w:hAnsi="Cambria" w:cs="Times New Roman"/>
      <w:szCs w:val="22"/>
      <w:lang w:bidi="en-US"/>
    </w:rPr>
  </w:style>
  <w:style w:type="paragraph" w:customStyle="1" w:styleId="afterquotenoindent">
    <w:name w:val="after quote no indent"/>
    <w:basedOn w:val="Normal"/>
    <w:rsid w:val="00446CE6"/>
    <w:pPr>
      <w:spacing w:after="0" w:line="0" w:lineRule="atLeast"/>
      <w:jc w:val="left"/>
    </w:pPr>
    <w:rPr>
      <w:rFonts w:ascii="Cambria" w:eastAsia="SimSun" w:hAnsi="Cambria" w:cs="Times New Roman"/>
      <w:lang w:eastAsia="zh-CN" w:bidi="en-US"/>
    </w:rPr>
  </w:style>
  <w:style w:type="character" w:customStyle="1" w:styleId="CharacterStyle2">
    <w:name w:val="Character Style 2"/>
    <w:rsid w:val="00446CE6"/>
    <w:rPr>
      <w:sz w:val="22"/>
      <w:szCs w:val="22"/>
    </w:rPr>
  </w:style>
  <w:style w:type="paragraph" w:customStyle="1" w:styleId="FR1">
    <w:name w:val="FR1"/>
    <w:rsid w:val="00446CE6"/>
    <w:pPr>
      <w:widowControl w:val="0"/>
      <w:autoSpaceDE w:val="0"/>
      <w:autoSpaceDN w:val="0"/>
      <w:adjustRightInd w:val="0"/>
      <w:spacing w:line="0" w:lineRule="atLeast"/>
      <w:jc w:val="center"/>
    </w:pPr>
    <w:rPr>
      <w:rFonts w:ascii="Cambria" w:eastAsia="Calibri" w:hAnsi="Cambria" w:cs="Times New Roman"/>
      <w:sz w:val="72"/>
      <w:szCs w:val="72"/>
      <w:lang w:bidi="en-US"/>
    </w:rPr>
  </w:style>
  <w:style w:type="paragraph" w:customStyle="1" w:styleId="FR2">
    <w:name w:val="FR2"/>
    <w:rsid w:val="00446CE6"/>
    <w:pPr>
      <w:widowControl w:val="0"/>
      <w:autoSpaceDE w:val="0"/>
      <w:autoSpaceDN w:val="0"/>
      <w:adjustRightInd w:val="0"/>
      <w:spacing w:before="860" w:line="0" w:lineRule="atLeast"/>
      <w:jc w:val="center"/>
    </w:pPr>
    <w:rPr>
      <w:rFonts w:ascii="Arial" w:eastAsia="Calibri" w:hAnsi="Arial" w:cs="Arial"/>
      <w:i/>
      <w:iCs/>
      <w:sz w:val="48"/>
      <w:szCs w:val="48"/>
      <w:lang w:bidi="en-US"/>
    </w:rPr>
  </w:style>
  <w:style w:type="paragraph" w:customStyle="1" w:styleId="FR3">
    <w:name w:val="FR3"/>
    <w:rsid w:val="00446CE6"/>
    <w:pPr>
      <w:widowControl w:val="0"/>
      <w:autoSpaceDE w:val="0"/>
      <w:autoSpaceDN w:val="0"/>
      <w:adjustRightInd w:val="0"/>
      <w:spacing w:before="40" w:line="300" w:lineRule="auto"/>
    </w:pPr>
    <w:rPr>
      <w:rFonts w:ascii="Cambria" w:eastAsia="Calibri" w:hAnsi="Cambria" w:cs="Times New Roman"/>
      <w:sz w:val="40"/>
      <w:szCs w:val="40"/>
      <w:lang w:bidi="en-US"/>
    </w:rPr>
  </w:style>
  <w:style w:type="paragraph" w:customStyle="1" w:styleId="FR4">
    <w:name w:val="FR4"/>
    <w:rsid w:val="00446CE6"/>
    <w:pPr>
      <w:widowControl w:val="0"/>
      <w:autoSpaceDE w:val="0"/>
      <w:autoSpaceDN w:val="0"/>
      <w:adjustRightInd w:val="0"/>
      <w:spacing w:before="400" w:line="260" w:lineRule="auto"/>
    </w:pPr>
    <w:rPr>
      <w:rFonts w:ascii="Cambria" w:eastAsia="Calibri" w:hAnsi="Cambria" w:cs="Times New Roman"/>
      <w:sz w:val="28"/>
      <w:szCs w:val="28"/>
      <w:lang w:bidi="en-US"/>
    </w:rPr>
  </w:style>
  <w:style w:type="paragraph" w:customStyle="1" w:styleId="Style20">
    <w:name w:val="Style 2"/>
    <w:rsid w:val="00446CE6"/>
    <w:pPr>
      <w:widowControl w:val="0"/>
      <w:autoSpaceDE w:val="0"/>
      <w:autoSpaceDN w:val="0"/>
      <w:spacing w:after="108" w:line="0" w:lineRule="atLeast"/>
      <w:ind w:right="396"/>
      <w:jc w:val="right"/>
    </w:pPr>
    <w:rPr>
      <w:rFonts w:ascii="Arial Narrow" w:eastAsia="Calibri" w:hAnsi="Arial Narrow" w:cs="Arial Narrow"/>
      <w:b/>
      <w:bCs/>
      <w:sz w:val="22"/>
      <w:szCs w:val="22"/>
      <w:lang w:bidi="en-US"/>
    </w:rPr>
  </w:style>
  <w:style w:type="paragraph" w:customStyle="1" w:styleId="Style10">
    <w:name w:val="Style 1"/>
    <w:rsid w:val="00446CE6"/>
    <w:pPr>
      <w:autoSpaceDE w:val="0"/>
      <w:autoSpaceDN w:val="0"/>
      <w:adjustRightInd w:val="0"/>
      <w:spacing w:line="0" w:lineRule="atLeast"/>
      <w:jc w:val="left"/>
    </w:pPr>
    <w:rPr>
      <w:rFonts w:ascii="Cambria" w:eastAsia="Calibri" w:hAnsi="Cambria" w:cs="Times New Roman"/>
      <w:sz w:val="22"/>
      <w:szCs w:val="22"/>
      <w:lang w:bidi="en-US"/>
    </w:rPr>
  </w:style>
  <w:style w:type="paragraph" w:customStyle="1" w:styleId="Style5">
    <w:name w:val="Style 5"/>
    <w:rsid w:val="00446CE6"/>
    <w:pPr>
      <w:widowControl w:val="0"/>
      <w:autoSpaceDE w:val="0"/>
      <w:autoSpaceDN w:val="0"/>
      <w:spacing w:line="360" w:lineRule="auto"/>
      <w:ind w:right="216" w:firstLine="360"/>
      <w:jc w:val="left"/>
    </w:pPr>
    <w:rPr>
      <w:rFonts w:ascii="Bookman Old Style" w:eastAsia="Calibri" w:hAnsi="Bookman Old Style" w:cs="Bookman Old Style"/>
      <w:sz w:val="18"/>
      <w:szCs w:val="18"/>
      <w:lang w:bidi="en-US"/>
    </w:rPr>
  </w:style>
  <w:style w:type="paragraph" w:customStyle="1" w:styleId="Style22">
    <w:name w:val="Style 22"/>
    <w:rsid w:val="00446CE6"/>
    <w:pPr>
      <w:widowControl w:val="0"/>
      <w:autoSpaceDE w:val="0"/>
      <w:autoSpaceDN w:val="0"/>
      <w:spacing w:line="333" w:lineRule="auto"/>
      <w:ind w:firstLine="360"/>
      <w:jc w:val="left"/>
    </w:pPr>
    <w:rPr>
      <w:rFonts w:ascii="Bookman Old Style" w:eastAsia="Calibri" w:hAnsi="Bookman Old Style" w:cs="Bookman Old Style"/>
      <w:sz w:val="18"/>
      <w:szCs w:val="18"/>
      <w:lang w:bidi="en-US"/>
    </w:rPr>
  </w:style>
  <w:style w:type="paragraph" w:customStyle="1" w:styleId="Style19">
    <w:name w:val="Style 19"/>
    <w:rsid w:val="00446CE6"/>
    <w:pPr>
      <w:widowControl w:val="0"/>
      <w:autoSpaceDE w:val="0"/>
      <w:autoSpaceDN w:val="0"/>
      <w:spacing w:line="285" w:lineRule="auto"/>
      <w:jc w:val="left"/>
    </w:pPr>
    <w:rPr>
      <w:rFonts w:ascii="Cambria" w:eastAsia="Calibri" w:hAnsi="Cambria" w:cs="Times New Roman"/>
      <w:sz w:val="22"/>
      <w:szCs w:val="22"/>
      <w:lang w:bidi="en-US"/>
    </w:rPr>
  </w:style>
  <w:style w:type="paragraph" w:customStyle="1" w:styleId="Style7">
    <w:name w:val="Style 7"/>
    <w:rsid w:val="00446CE6"/>
    <w:pPr>
      <w:widowControl w:val="0"/>
      <w:autoSpaceDE w:val="0"/>
      <w:autoSpaceDN w:val="0"/>
      <w:spacing w:before="252" w:after="36" w:line="285" w:lineRule="auto"/>
      <w:ind w:left="360" w:right="72" w:hanging="288"/>
      <w:jc w:val="left"/>
    </w:pPr>
    <w:rPr>
      <w:rFonts w:ascii="Cambria" w:eastAsia="Calibri" w:hAnsi="Cambria" w:cs="Times New Roman"/>
      <w:sz w:val="22"/>
      <w:szCs w:val="22"/>
      <w:lang w:bidi="en-US"/>
    </w:rPr>
  </w:style>
  <w:style w:type="paragraph" w:customStyle="1" w:styleId="Style9">
    <w:name w:val="Style 9"/>
    <w:rsid w:val="00446CE6"/>
    <w:pPr>
      <w:widowControl w:val="0"/>
      <w:autoSpaceDE w:val="0"/>
      <w:autoSpaceDN w:val="0"/>
      <w:spacing w:before="72" w:line="319" w:lineRule="auto"/>
      <w:ind w:left="72" w:right="72"/>
      <w:jc w:val="left"/>
    </w:pPr>
    <w:rPr>
      <w:rFonts w:ascii="Bookman Old Style" w:eastAsia="Calibri" w:hAnsi="Bookman Old Style" w:cs="Bookman Old Style"/>
      <w:sz w:val="22"/>
      <w:szCs w:val="22"/>
      <w:lang w:bidi="en-US"/>
    </w:rPr>
  </w:style>
  <w:style w:type="paragraph" w:customStyle="1" w:styleId="Style11">
    <w:name w:val="Style 11"/>
    <w:rsid w:val="00446CE6"/>
    <w:pPr>
      <w:widowControl w:val="0"/>
      <w:autoSpaceDE w:val="0"/>
      <w:autoSpaceDN w:val="0"/>
      <w:spacing w:before="1116" w:line="285" w:lineRule="auto"/>
      <w:jc w:val="left"/>
    </w:pPr>
    <w:rPr>
      <w:rFonts w:ascii="Cambria" w:eastAsia="Calibri" w:hAnsi="Cambria" w:cs="Times New Roman"/>
      <w:sz w:val="22"/>
      <w:szCs w:val="22"/>
      <w:lang w:bidi="en-US"/>
    </w:rPr>
  </w:style>
  <w:style w:type="paragraph" w:customStyle="1" w:styleId="Style23">
    <w:name w:val="Style 23"/>
    <w:rsid w:val="00446CE6"/>
    <w:pPr>
      <w:widowControl w:val="0"/>
      <w:autoSpaceDE w:val="0"/>
      <w:autoSpaceDN w:val="0"/>
      <w:spacing w:before="324" w:line="343" w:lineRule="auto"/>
      <w:ind w:right="72" w:firstLine="72"/>
    </w:pPr>
    <w:rPr>
      <w:rFonts w:ascii="Bookman Old Style" w:eastAsia="Calibri" w:hAnsi="Bookman Old Style" w:cs="Bookman Old Style"/>
      <w:sz w:val="18"/>
      <w:szCs w:val="18"/>
      <w:lang w:bidi="en-US"/>
    </w:rPr>
  </w:style>
  <w:style w:type="paragraph" w:customStyle="1" w:styleId="Style13">
    <w:name w:val="Style 13"/>
    <w:rsid w:val="00446CE6"/>
    <w:pPr>
      <w:widowControl w:val="0"/>
      <w:autoSpaceDE w:val="0"/>
      <w:autoSpaceDN w:val="0"/>
      <w:spacing w:line="0" w:lineRule="atLeast"/>
      <w:ind w:left="72"/>
      <w:jc w:val="left"/>
    </w:pPr>
    <w:rPr>
      <w:rFonts w:ascii="Cambria" w:eastAsia="Calibri" w:hAnsi="Cambria" w:cs="Times New Roman"/>
      <w:sz w:val="22"/>
      <w:szCs w:val="22"/>
      <w:lang w:bidi="en-US"/>
    </w:rPr>
  </w:style>
  <w:style w:type="paragraph" w:customStyle="1" w:styleId="Style26">
    <w:name w:val="Style 26"/>
    <w:rsid w:val="00446CE6"/>
    <w:pPr>
      <w:widowControl w:val="0"/>
      <w:autoSpaceDE w:val="0"/>
      <w:autoSpaceDN w:val="0"/>
      <w:spacing w:line="360" w:lineRule="auto"/>
      <w:jc w:val="left"/>
    </w:pPr>
    <w:rPr>
      <w:rFonts w:ascii="Bookman Old Style" w:eastAsia="Calibri" w:hAnsi="Bookman Old Style" w:cs="Bookman Old Style"/>
      <w:sz w:val="18"/>
      <w:szCs w:val="18"/>
      <w:lang w:bidi="en-US"/>
    </w:rPr>
  </w:style>
  <w:style w:type="paragraph" w:customStyle="1" w:styleId="Style14">
    <w:name w:val="Style 14"/>
    <w:rsid w:val="00446CE6"/>
    <w:pPr>
      <w:widowControl w:val="0"/>
      <w:autoSpaceDE w:val="0"/>
      <w:autoSpaceDN w:val="0"/>
      <w:spacing w:line="211" w:lineRule="auto"/>
      <w:jc w:val="left"/>
    </w:pPr>
    <w:rPr>
      <w:rFonts w:ascii="Cambria" w:eastAsia="Calibri" w:hAnsi="Cambria" w:cs="Times New Roman"/>
      <w:sz w:val="16"/>
      <w:szCs w:val="16"/>
      <w:lang w:bidi="en-US"/>
    </w:rPr>
  </w:style>
  <w:style w:type="paragraph" w:customStyle="1" w:styleId="Style25">
    <w:name w:val="Style 25"/>
    <w:rsid w:val="00446CE6"/>
    <w:pPr>
      <w:widowControl w:val="0"/>
      <w:autoSpaceDE w:val="0"/>
      <w:autoSpaceDN w:val="0"/>
      <w:spacing w:before="360" w:line="345" w:lineRule="auto"/>
      <w:jc w:val="left"/>
    </w:pPr>
    <w:rPr>
      <w:rFonts w:ascii="Bookman Old Style" w:eastAsia="Calibri" w:hAnsi="Bookman Old Style" w:cs="Bookman Old Style"/>
      <w:sz w:val="18"/>
      <w:szCs w:val="18"/>
      <w:lang w:bidi="en-US"/>
    </w:rPr>
  </w:style>
  <w:style w:type="paragraph" w:customStyle="1" w:styleId="Style18">
    <w:name w:val="Style 18"/>
    <w:rsid w:val="00446CE6"/>
    <w:pPr>
      <w:widowControl w:val="0"/>
      <w:autoSpaceDE w:val="0"/>
      <w:autoSpaceDN w:val="0"/>
      <w:spacing w:line="290" w:lineRule="auto"/>
      <w:ind w:left="432" w:right="792" w:hanging="360"/>
      <w:jc w:val="left"/>
    </w:pPr>
    <w:rPr>
      <w:rFonts w:ascii="Cambria" w:eastAsia="Calibri" w:hAnsi="Cambria" w:cs="Times New Roman"/>
      <w:sz w:val="22"/>
      <w:szCs w:val="22"/>
      <w:lang w:bidi="en-US"/>
    </w:rPr>
  </w:style>
  <w:style w:type="paragraph" w:customStyle="1" w:styleId="Style16">
    <w:name w:val="Style 16"/>
    <w:rsid w:val="00446CE6"/>
    <w:pPr>
      <w:widowControl w:val="0"/>
      <w:autoSpaceDE w:val="0"/>
      <w:autoSpaceDN w:val="0"/>
      <w:spacing w:line="360" w:lineRule="auto"/>
      <w:ind w:right="72" w:firstLine="360"/>
    </w:pPr>
    <w:rPr>
      <w:rFonts w:ascii="Bookman Old Style" w:eastAsia="Calibri" w:hAnsi="Bookman Old Style" w:cs="Bookman Old Style"/>
      <w:sz w:val="18"/>
      <w:szCs w:val="18"/>
      <w:lang w:bidi="en-US"/>
    </w:rPr>
  </w:style>
  <w:style w:type="character" w:customStyle="1" w:styleId="CharacterStyle1">
    <w:name w:val="Character Style 1"/>
    <w:rsid w:val="00446CE6"/>
    <w:rPr>
      <w:rFonts w:ascii="Arial Narrow" w:hAnsi="Arial Narrow" w:cs="Arial Narrow"/>
      <w:b/>
      <w:bCs/>
      <w:sz w:val="20"/>
      <w:szCs w:val="20"/>
    </w:rPr>
  </w:style>
  <w:style w:type="character" w:customStyle="1" w:styleId="CharacterStyle3">
    <w:name w:val="Character Style 3"/>
    <w:rsid w:val="00446CE6"/>
    <w:rPr>
      <w:rFonts w:ascii="Bookman Old Style" w:hAnsi="Bookman Old Style" w:cs="Bookman Old Style"/>
      <w:sz w:val="20"/>
      <w:szCs w:val="20"/>
    </w:rPr>
  </w:style>
  <w:style w:type="character" w:customStyle="1" w:styleId="CharacterStyle5">
    <w:name w:val="Character Style 5"/>
    <w:rsid w:val="00446CE6"/>
    <w:rPr>
      <w:b/>
      <w:bCs/>
      <w:sz w:val="16"/>
      <w:szCs w:val="16"/>
    </w:rPr>
  </w:style>
  <w:style w:type="character" w:customStyle="1" w:styleId="CharacterStyle4">
    <w:name w:val="Character Style 4"/>
    <w:basedOn w:val="Heading4Char"/>
    <w:qFormat/>
    <w:rsid w:val="00446CE6"/>
    <w:rPr>
      <w:rFonts w:cs="Bookman Old Style"/>
      <w:b/>
      <w:smallCaps w:val="0"/>
      <w:sz w:val="26"/>
      <w:szCs w:val="18"/>
    </w:rPr>
  </w:style>
  <w:style w:type="character" w:customStyle="1" w:styleId="CharacterStyle6">
    <w:name w:val="Character Style 6"/>
    <w:rsid w:val="00446CE6"/>
    <w:rPr>
      <w:sz w:val="16"/>
      <w:szCs w:val="16"/>
    </w:rPr>
  </w:style>
  <w:style w:type="paragraph" w:customStyle="1" w:styleId="Style3">
    <w:name w:val="Style 3"/>
    <w:rsid w:val="00446CE6"/>
    <w:pPr>
      <w:widowControl w:val="0"/>
      <w:autoSpaceDE w:val="0"/>
      <w:autoSpaceDN w:val="0"/>
      <w:ind w:left="360"/>
      <w:jc w:val="left"/>
    </w:pPr>
    <w:rPr>
      <w:rFonts w:ascii="Bookman Old Style" w:eastAsia="Calibri" w:hAnsi="Bookman Old Style" w:cs="Bookman Old Style"/>
      <w:sz w:val="18"/>
      <w:szCs w:val="18"/>
      <w:lang w:bidi="en-US"/>
    </w:rPr>
  </w:style>
  <w:style w:type="paragraph" w:customStyle="1" w:styleId="Style4">
    <w:name w:val="Style 4"/>
    <w:rsid w:val="00446CE6"/>
    <w:pPr>
      <w:widowControl w:val="0"/>
      <w:autoSpaceDE w:val="0"/>
      <w:autoSpaceDN w:val="0"/>
      <w:spacing w:line="307" w:lineRule="auto"/>
    </w:pPr>
    <w:rPr>
      <w:rFonts w:ascii="Bookman Old Style" w:eastAsia="Calibri" w:hAnsi="Bookman Old Style" w:cs="Bookman Old Style"/>
      <w:sz w:val="18"/>
      <w:szCs w:val="18"/>
      <w:lang w:bidi="en-US"/>
    </w:rPr>
  </w:style>
  <w:style w:type="paragraph" w:customStyle="1" w:styleId="Style12">
    <w:name w:val="Style 12"/>
    <w:rsid w:val="00446CE6"/>
    <w:pPr>
      <w:widowControl w:val="0"/>
      <w:autoSpaceDE w:val="0"/>
      <w:autoSpaceDN w:val="0"/>
      <w:spacing w:before="216" w:line="316" w:lineRule="auto"/>
      <w:ind w:left="360" w:right="360"/>
    </w:pPr>
    <w:rPr>
      <w:rFonts w:ascii="Bookman Old Style" w:eastAsia="Calibri" w:hAnsi="Bookman Old Style" w:cs="Bookman Old Style"/>
      <w:sz w:val="16"/>
      <w:szCs w:val="16"/>
      <w:lang w:bidi="en-US"/>
    </w:rPr>
  </w:style>
  <w:style w:type="paragraph" w:customStyle="1" w:styleId="Style6">
    <w:name w:val="Style 6"/>
    <w:rsid w:val="00446CE6"/>
    <w:pPr>
      <w:widowControl w:val="0"/>
      <w:autoSpaceDE w:val="0"/>
      <w:autoSpaceDN w:val="0"/>
      <w:spacing w:line="360" w:lineRule="auto"/>
      <w:ind w:firstLine="288"/>
    </w:pPr>
    <w:rPr>
      <w:rFonts w:ascii="Bookman Old Style" w:eastAsia="Calibri" w:hAnsi="Bookman Old Style" w:cs="Bookman Old Style"/>
      <w:sz w:val="18"/>
      <w:szCs w:val="18"/>
      <w:lang w:bidi="en-US"/>
    </w:rPr>
  </w:style>
  <w:style w:type="paragraph" w:customStyle="1" w:styleId="Style15">
    <w:name w:val="Style 15"/>
    <w:rsid w:val="00446CE6"/>
    <w:pPr>
      <w:widowControl w:val="0"/>
      <w:autoSpaceDE w:val="0"/>
      <w:autoSpaceDN w:val="0"/>
      <w:spacing w:line="292" w:lineRule="auto"/>
      <w:ind w:left="360" w:right="360" w:firstLine="216"/>
    </w:pPr>
    <w:rPr>
      <w:rFonts w:ascii="Cambria" w:eastAsia="Calibri" w:hAnsi="Cambria" w:cs="Times New Roman"/>
      <w:sz w:val="18"/>
      <w:szCs w:val="18"/>
      <w:lang w:bidi="en-US"/>
    </w:rPr>
  </w:style>
  <w:style w:type="paragraph" w:customStyle="1" w:styleId="Style8">
    <w:name w:val="Style 8"/>
    <w:rsid w:val="00446CE6"/>
    <w:pPr>
      <w:widowControl w:val="0"/>
      <w:autoSpaceDE w:val="0"/>
      <w:autoSpaceDN w:val="0"/>
      <w:spacing w:line="175" w:lineRule="auto"/>
      <w:jc w:val="left"/>
    </w:pPr>
    <w:rPr>
      <w:rFonts w:ascii="Cambria" w:eastAsia="Calibri" w:hAnsi="Cambria" w:cs="Times New Roman"/>
      <w:sz w:val="22"/>
      <w:szCs w:val="22"/>
      <w:lang w:bidi="en-US"/>
    </w:rPr>
  </w:style>
  <w:style w:type="paragraph" w:customStyle="1" w:styleId="Style100">
    <w:name w:val="Style 10"/>
    <w:rsid w:val="00446CE6"/>
    <w:pPr>
      <w:widowControl w:val="0"/>
      <w:autoSpaceDE w:val="0"/>
      <w:autoSpaceDN w:val="0"/>
      <w:spacing w:line="290" w:lineRule="auto"/>
      <w:ind w:firstLine="360"/>
    </w:pPr>
    <w:rPr>
      <w:rFonts w:ascii="Cambria" w:eastAsia="Calibri" w:hAnsi="Cambria" w:cs="Times New Roman"/>
      <w:sz w:val="22"/>
      <w:szCs w:val="22"/>
      <w:lang w:bidi="en-US"/>
    </w:rPr>
  </w:style>
  <w:style w:type="paragraph" w:customStyle="1" w:styleId="Style17">
    <w:name w:val="Style 17"/>
    <w:rsid w:val="00446CE6"/>
    <w:pPr>
      <w:widowControl w:val="0"/>
      <w:autoSpaceDE w:val="0"/>
      <w:autoSpaceDN w:val="0"/>
      <w:spacing w:before="288" w:line="316" w:lineRule="auto"/>
      <w:ind w:firstLine="360"/>
    </w:pPr>
    <w:rPr>
      <w:rFonts w:ascii="Bookman Old Style" w:eastAsia="Calibri" w:hAnsi="Bookman Old Style" w:cs="Bookman Old Style"/>
      <w:sz w:val="18"/>
      <w:szCs w:val="18"/>
      <w:lang w:bidi="en-US"/>
    </w:rPr>
  </w:style>
  <w:style w:type="character" w:customStyle="1" w:styleId="BalloonTextChar">
    <w:name w:val="Balloon Text Char"/>
    <w:basedOn w:val="DefaultParagraphFont"/>
    <w:link w:val="BalloonText"/>
    <w:uiPriority w:val="99"/>
    <w:semiHidden/>
    <w:rsid w:val="00446CE6"/>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446CE6"/>
    <w:pPr>
      <w:spacing w:after="0"/>
      <w:jc w:val="left"/>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446CE6"/>
    <w:rPr>
      <w:rFonts w:ascii="Segoe UI" w:hAnsi="Segoe UI" w:cs="Segoe UI"/>
      <w:sz w:val="18"/>
      <w:szCs w:val="18"/>
    </w:rPr>
  </w:style>
  <w:style w:type="character" w:customStyle="1" w:styleId="EndnoteTextChar">
    <w:name w:val="Endnote Text Char"/>
    <w:basedOn w:val="DefaultParagraphFont"/>
    <w:link w:val="EndnoteText"/>
    <w:rsid w:val="00446CE6"/>
    <w:rPr>
      <w:rFonts w:ascii="Cambria" w:eastAsia="SimSun" w:hAnsi="Cambria"/>
      <w:sz w:val="22"/>
      <w:lang w:eastAsia="zh-CN"/>
    </w:rPr>
  </w:style>
  <w:style w:type="paragraph" w:styleId="EndnoteText">
    <w:name w:val="endnote text"/>
    <w:basedOn w:val="Normal"/>
    <w:link w:val="EndnoteTextChar"/>
    <w:unhideWhenUsed/>
    <w:rsid w:val="00446CE6"/>
    <w:pPr>
      <w:spacing w:line="252" w:lineRule="auto"/>
      <w:jc w:val="left"/>
    </w:pPr>
    <w:rPr>
      <w:rFonts w:ascii="Cambria" w:eastAsia="SimSun" w:hAnsi="Cambria"/>
      <w:sz w:val="22"/>
      <w:lang w:eastAsia="zh-CN"/>
    </w:rPr>
  </w:style>
  <w:style w:type="character" w:customStyle="1" w:styleId="EndnoteTextChar1">
    <w:name w:val="Endnote Text Char1"/>
    <w:basedOn w:val="DefaultParagraphFont"/>
    <w:uiPriority w:val="99"/>
    <w:semiHidden/>
    <w:rsid w:val="00446CE6"/>
    <w:rPr>
      <w:sz w:val="20"/>
      <w:szCs w:val="20"/>
    </w:rPr>
  </w:style>
  <w:style w:type="paragraph" w:customStyle="1" w:styleId="Default">
    <w:name w:val="Default"/>
    <w:rsid w:val="00446CE6"/>
    <w:pPr>
      <w:autoSpaceDE w:val="0"/>
      <w:autoSpaceDN w:val="0"/>
      <w:adjustRightInd w:val="0"/>
      <w:spacing w:line="252" w:lineRule="auto"/>
      <w:jc w:val="left"/>
    </w:pPr>
    <w:rPr>
      <w:rFonts w:ascii="Cambria" w:eastAsia="Calibri" w:hAnsi="Cambria" w:cs="Times New Roman"/>
      <w:color w:val="000000"/>
      <w:lang w:bidi="en-US"/>
    </w:rPr>
  </w:style>
  <w:style w:type="character" w:customStyle="1" w:styleId="A0">
    <w:name w:val="A0"/>
    <w:uiPriority w:val="99"/>
    <w:rsid w:val="00446CE6"/>
    <w:rPr>
      <w:color w:val="000000"/>
      <w:sz w:val="20"/>
      <w:szCs w:val="20"/>
    </w:rPr>
  </w:style>
  <w:style w:type="paragraph" w:styleId="NormalWeb">
    <w:name w:val="Normal (Web)"/>
    <w:basedOn w:val="Normal"/>
    <w:uiPriority w:val="99"/>
    <w:unhideWhenUsed/>
    <w:rsid w:val="00446CE6"/>
    <w:pPr>
      <w:spacing w:before="100" w:beforeAutospacing="1" w:after="100" w:afterAutospacing="1" w:line="240" w:lineRule="auto"/>
      <w:jc w:val="left"/>
    </w:pPr>
    <w:rPr>
      <w:rFonts w:ascii="Times New Roman" w:eastAsia="Times New Roman" w:hAnsi="Times New Roman" w:cs="Times New Roman"/>
    </w:rPr>
  </w:style>
  <w:style w:type="character" w:styleId="EndnoteReference">
    <w:name w:val="endnote reference"/>
    <w:basedOn w:val="DefaultParagraphFont"/>
    <w:semiHidden/>
    <w:unhideWhenUsed/>
    <w:rsid w:val="00446CE6"/>
    <w:rPr>
      <w:vertAlign w:val="superscript"/>
    </w:rPr>
  </w:style>
  <w:style w:type="paragraph" w:customStyle="1" w:styleId="Tablelabel">
    <w:name w:val="Tablelabel"/>
    <w:rsid w:val="00446CE6"/>
    <w:pPr>
      <w:keepNext/>
      <w:spacing w:after="0" w:line="240" w:lineRule="exact"/>
      <w:jc w:val="left"/>
    </w:pPr>
    <w:rPr>
      <w:rFonts w:ascii="Times New Roman" w:eastAsia="Times New Roman" w:hAnsi="Times New Roman" w:cs="Times New Roman"/>
      <w:b/>
    </w:rPr>
  </w:style>
  <w:style w:type="paragraph" w:customStyle="1" w:styleId="lists">
    <w:name w:val="lists"/>
    <w:rsid w:val="00446CE6"/>
    <w:pPr>
      <w:tabs>
        <w:tab w:val="left" w:pos="1152"/>
      </w:tabs>
      <w:spacing w:before="120" w:after="0" w:line="240" w:lineRule="auto"/>
      <w:ind w:left="1152" w:hanging="576"/>
      <w:jc w:val="left"/>
    </w:pPr>
    <w:rPr>
      <w:rFonts w:ascii="Times New Roman" w:eastAsia="Times New Roman" w:hAnsi="Times New Roman" w:cs="Times New Roman"/>
      <w:szCs w:val="20"/>
    </w:rPr>
  </w:style>
  <w:style w:type="character" w:customStyle="1" w:styleId="NoSpacingChar">
    <w:name w:val="No Spacing Char"/>
    <w:aliases w:val="Footnote Char"/>
    <w:basedOn w:val="DefaultParagraphFont"/>
    <w:link w:val="NoSpacing"/>
    <w:uiPriority w:val="1"/>
    <w:locked/>
    <w:rsid w:val="00446CE6"/>
    <w:rPr>
      <w:sz w:val="20"/>
    </w:rPr>
  </w:style>
  <w:style w:type="paragraph" w:customStyle="1" w:styleId="FootnoteText1">
    <w:name w:val="Footnote Text1"/>
    <w:basedOn w:val="FootnoteText"/>
    <w:qFormat/>
    <w:rsid w:val="00876F3B"/>
    <w:pPr>
      <w:spacing w:line="180" w:lineRule="exact"/>
      <w:jc w:val="left"/>
    </w:pPr>
    <w:rPr>
      <w:rFonts w:ascii="Minion Pro" w:eastAsia="Calibri" w:hAnsi="Minion Pro"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6334">
      <w:bodyDiv w:val="1"/>
      <w:marLeft w:val="0"/>
      <w:marRight w:val="0"/>
      <w:marTop w:val="0"/>
      <w:marBottom w:val="0"/>
      <w:divBdr>
        <w:top w:val="none" w:sz="0" w:space="0" w:color="auto"/>
        <w:left w:val="none" w:sz="0" w:space="0" w:color="auto"/>
        <w:bottom w:val="none" w:sz="0" w:space="0" w:color="auto"/>
        <w:right w:val="none" w:sz="0" w:space="0" w:color="auto"/>
      </w:divBdr>
    </w:div>
    <w:div w:id="33620219">
      <w:bodyDiv w:val="1"/>
      <w:marLeft w:val="0"/>
      <w:marRight w:val="0"/>
      <w:marTop w:val="0"/>
      <w:marBottom w:val="0"/>
      <w:divBdr>
        <w:top w:val="none" w:sz="0" w:space="0" w:color="auto"/>
        <w:left w:val="none" w:sz="0" w:space="0" w:color="auto"/>
        <w:bottom w:val="none" w:sz="0" w:space="0" w:color="auto"/>
        <w:right w:val="none" w:sz="0" w:space="0" w:color="auto"/>
      </w:divBdr>
    </w:div>
    <w:div w:id="47339751">
      <w:bodyDiv w:val="1"/>
      <w:marLeft w:val="0"/>
      <w:marRight w:val="0"/>
      <w:marTop w:val="0"/>
      <w:marBottom w:val="0"/>
      <w:divBdr>
        <w:top w:val="none" w:sz="0" w:space="0" w:color="auto"/>
        <w:left w:val="none" w:sz="0" w:space="0" w:color="auto"/>
        <w:bottom w:val="none" w:sz="0" w:space="0" w:color="auto"/>
        <w:right w:val="none" w:sz="0" w:space="0" w:color="auto"/>
      </w:divBdr>
    </w:div>
    <w:div w:id="53049201">
      <w:bodyDiv w:val="1"/>
      <w:marLeft w:val="0"/>
      <w:marRight w:val="0"/>
      <w:marTop w:val="0"/>
      <w:marBottom w:val="0"/>
      <w:divBdr>
        <w:top w:val="none" w:sz="0" w:space="0" w:color="auto"/>
        <w:left w:val="none" w:sz="0" w:space="0" w:color="auto"/>
        <w:bottom w:val="none" w:sz="0" w:space="0" w:color="auto"/>
        <w:right w:val="none" w:sz="0" w:space="0" w:color="auto"/>
      </w:divBdr>
    </w:div>
    <w:div w:id="111829530">
      <w:bodyDiv w:val="1"/>
      <w:marLeft w:val="0"/>
      <w:marRight w:val="0"/>
      <w:marTop w:val="0"/>
      <w:marBottom w:val="0"/>
      <w:divBdr>
        <w:top w:val="none" w:sz="0" w:space="0" w:color="auto"/>
        <w:left w:val="none" w:sz="0" w:space="0" w:color="auto"/>
        <w:bottom w:val="none" w:sz="0" w:space="0" w:color="auto"/>
        <w:right w:val="none" w:sz="0" w:space="0" w:color="auto"/>
      </w:divBdr>
    </w:div>
    <w:div w:id="113719277">
      <w:bodyDiv w:val="1"/>
      <w:marLeft w:val="0"/>
      <w:marRight w:val="0"/>
      <w:marTop w:val="0"/>
      <w:marBottom w:val="0"/>
      <w:divBdr>
        <w:top w:val="none" w:sz="0" w:space="0" w:color="auto"/>
        <w:left w:val="none" w:sz="0" w:space="0" w:color="auto"/>
        <w:bottom w:val="none" w:sz="0" w:space="0" w:color="auto"/>
        <w:right w:val="none" w:sz="0" w:space="0" w:color="auto"/>
      </w:divBdr>
    </w:div>
    <w:div w:id="116536260">
      <w:bodyDiv w:val="1"/>
      <w:marLeft w:val="0"/>
      <w:marRight w:val="0"/>
      <w:marTop w:val="0"/>
      <w:marBottom w:val="0"/>
      <w:divBdr>
        <w:top w:val="none" w:sz="0" w:space="0" w:color="auto"/>
        <w:left w:val="none" w:sz="0" w:space="0" w:color="auto"/>
        <w:bottom w:val="none" w:sz="0" w:space="0" w:color="auto"/>
        <w:right w:val="none" w:sz="0" w:space="0" w:color="auto"/>
      </w:divBdr>
      <w:divsChild>
        <w:div w:id="52046710">
          <w:marLeft w:val="907"/>
          <w:marRight w:val="0"/>
          <w:marTop w:val="0"/>
          <w:marBottom w:val="0"/>
          <w:divBdr>
            <w:top w:val="none" w:sz="0" w:space="0" w:color="auto"/>
            <w:left w:val="none" w:sz="0" w:space="0" w:color="auto"/>
            <w:bottom w:val="none" w:sz="0" w:space="0" w:color="auto"/>
            <w:right w:val="none" w:sz="0" w:space="0" w:color="auto"/>
          </w:divBdr>
        </w:div>
        <w:div w:id="1892108651">
          <w:marLeft w:val="907"/>
          <w:marRight w:val="0"/>
          <w:marTop w:val="0"/>
          <w:marBottom w:val="0"/>
          <w:divBdr>
            <w:top w:val="none" w:sz="0" w:space="0" w:color="auto"/>
            <w:left w:val="none" w:sz="0" w:space="0" w:color="auto"/>
            <w:bottom w:val="none" w:sz="0" w:space="0" w:color="auto"/>
            <w:right w:val="none" w:sz="0" w:space="0" w:color="auto"/>
          </w:divBdr>
        </w:div>
        <w:div w:id="1232934740">
          <w:marLeft w:val="907"/>
          <w:marRight w:val="0"/>
          <w:marTop w:val="0"/>
          <w:marBottom w:val="0"/>
          <w:divBdr>
            <w:top w:val="none" w:sz="0" w:space="0" w:color="auto"/>
            <w:left w:val="none" w:sz="0" w:space="0" w:color="auto"/>
            <w:bottom w:val="none" w:sz="0" w:space="0" w:color="auto"/>
            <w:right w:val="none" w:sz="0" w:space="0" w:color="auto"/>
          </w:divBdr>
        </w:div>
      </w:divsChild>
    </w:div>
    <w:div w:id="125009607">
      <w:bodyDiv w:val="1"/>
      <w:marLeft w:val="0"/>
      <w:marRight w:val="0"/>
      <w:marTop w:val="0"/>
      <w:marBottom w:val="0"/>
      <w:divBdr>
        <w:top w:val="none" w:sz="0" w:space="0" w:color="auto"/>
        <w:left w:val="none" w:sz="0" w:space="0" w:color="auto"/>
        <w:bottom w:val="none" w:sz="0" w:space="0" w:color="auto"/>
        <w:right w:val="none" w:sz="0" w:space="0" w:color="auto"/>
      </w:divBdr>
    </w:div>
    <w:div w:id="171838578">
      <w:bodyDiv w:val="1"/>
      <w:marLeft w:val="0"/>
      <w:marRight w:val="0"/>
      <w:marTop w:val="0"/>
      <w:marBottom w:val="0"/>
      <w:divBdr>
        <w:top w:val="none" w:sz="0" w:space="0" w:color="auto"/>
        <w:left w:val="none" w:sz="0" w:space="0" w:color="auto"/>
        <w:bottom w:val="none" w:sz="0" w:space="0" w:color="auto"/>
        <w:right w:val="none" w:sz="0" w:space="0" w:color="auto"/>
      </w:divBdr>
    </w:div>
    <w:div w:id="177279651">
      <w:bodyDiv w:val="1"/>
      <w:marLeft w:val="0"/>
      <w:marRight w:val="0"/>
      <w:marTop w:val="0"/>
      <w:marBottom w:val="0"/>
      <w:divBdr>
        <w:top w:val="none" w:sz="0" w:space="0" w:color="auto"/>
        <w:left w:val="none" w:sz="0" w:space="0" w:color="auto"/>
        <w:bottom w:val="none" w:sz="0" w:space="0" w:color="auto"/>
        <w:right w:val="none" w:sz="0" w:space="0" w:color="auto"/>
      </w:divBdr>
    </w:div>
    <w:div w:id="189028175">
      <w:bodyDiv w:val="1"/>
      <w:marLeft w:val="0"/>
      <w:marRight w:val="0"/>
      <w:marTop w:val="0"/>
      <w:marBottom w:val="0"/>
      <w:divBdr>
        <w:top w:val="none" w:sz="0" w:space="0" w:color="auto"/>
        <w:left w:val="none" w:sz="0" w:space="0" w:color="auto"/>
        <w:bottom w:val="none" w:sz="0" w:space="0" w:color="auto"/>
        <w:right w:val="none" w:sz="0" w:space="0" w:color="auto"/>
      </w:divBdr>
    </w:div>
    <w:div w:id="192690342">
      <w:bodyDiv w:val="1"/>
      <w:marLeft w:val="0"/>
      <w:marRight w:val="0"/>
      <w:marTop w:val="0"/>
      <w:marBottom w:val="0"/>
      <w:divBdr>
        <w:top w:val="none" w:sz="0" w:space="0" w:color="auto"/>
        <w:left w:val="none" w:sz="0" w:space="0" w:color="auto"/>
        <w:bottom w:val="none" w:sz="0" w:space="0" w:color="auto"/>
        <w:right w:val="none" w:sz="0" w:space="0" w:color="auto"/>
      </w:divBdr>
    </w:div>
    <w:div w:id="209269469">
      <w:bodyDiv w:val="1"/>
      <w:marLeft w:val="0"/>
      <w:marRight w:val="0"/>
      <w:marTop w:val="0"/>
      <w:marBottom w:val="0"/>
      <w:divBdr>
        <w:top w:val="none" w:sz="0" w:space="0" w:color="auto"/>
        <w:left w:val="none" w:sz="0" w:space="0" w:color="auto"/>
        <w:bottom w:val="none" w:sz="0" w:space="0" w:color="auto"/>
        <w:right w:val="none" w:sz="0" w:space="0" w:color="auto"/>
      </w:divBdr>
    </w:div>
    <w:div w:id="222109850">
      <w:bodyDiv w:val="1"/>
      <w:marLeft w:val="0"/>
      <w:marRight w:val="0"/>
      <w:marTop w:val="0"/>
      <w:marBottom w:val="0"/>
      <w:divBdr>
        <w:top w:val="none" w:sz="0" w:space="0" w:color="auto"/>
        <w:left w:val="none" w:sz="0" w:space="0" w:color="auto"/>
        <w:bottom w:val="none" w:sz="0" w:space="0" w:color="auto"/>
        <w:right w:val="none" w:sz="0" w:space="0" w:color="auto"/>
      </w:divBdr>
    </w:div>
    <w:div w:id="224413020">
      <w:bodyDiv w:val="1"/>
      <w:marLeft w:val="0"/>
      <w:marRight w:val="0"/>
      <w:marTop w:val="0"/>
      <w:marBottom w:val="0"/>
      <w:divBdr>
        <w:top w:val="none" w:sz="0" w:space="0" w:color="auto"/>
        <w:left w:val="none" w:sz="0" w:space="0" w:color="auto"/>
        <w:bottom w:val="none" w:sz="0" w:space="0" w:color="auto"/>
        <w:right w:val="none" w:sz="0" w:space="0" w:color="auto"/>
      </w:divBdr>
    </w:div>
    <w:div w:id="225380548">
      <w:bodyDiv w:val="1"/>
      <w:marLeft w:val="0"/>
      <w:marRight w:val="0"/>
      <w:marTop w:val="0"/>
      <w:marBottom w:val="0"/>
      <w:divBdr>
        <w:top w:val="none" w:sz="0" w:space="0" w:color="auto"/>
        <w:left w:val="none" w:sz="0" w:space="0" w:color="auto"/>
        <w:bottom w:val="none" w:sz="0" w:space="0" w:color="auto"/>
        <w:right w:val="none" w:sz="0" w:space="0" w:color="auto"/>
      </w:divBdr>
      <w:divsChild>
        <w:div w:id="1198541709">
          <w:marLeft w:val="907"/>
          <w:marRight w:val="0"/>
          <w:marTop w:val="0"/>
          <w:marBottom w:val="0"/>
          <w:divBdr>
            <w:top w:val="none" w:sz="0" w:space="0" w:color="auto"/>
            <w:left w:val="none" w:sz="0" w:space="0" w:color="auto"/>
            <w:bottom w:val="none" w:sz="0" w:space="0" w:color="auto"/>
            <w:right w:val="none" w:sz="0" w:space="0" w:color="auto"/>
          </w:divBdr>
        </w:div>
      </w:divsChild>
    </w:div>
    <w:div w:id="232737112">
      <w:bodyDiv w:val="1"/>
      <w:marLeft w:val="0"/>
      <w:marRight w:val="0"/>
      <w:marTop w:val="0"/>
      <w:marBottom w:val="0"/>
      <w:divBdr>
        <w:top w:val="none" w:sz="0" w:space="0" w:color="auto"/>
        <w:left w:val="none" w:sz="0" w:space="0" w:color="auto"/>
        <w:bottom w:val="none" w:sz="0" w:space="0" w:color="auto"/>
        <w:right w:val="none" w:sz="0" w:space="0" w:color="auto"/>
      </w:divBdr>
    </w:div>
    <w:div w:id="247621269">
      <w:bodyDiv w:val="1"/>
      <w:marLeft w:val="0"/>
      <w:marRight w:val="0"/>
      <w:marTop w:val="0"/>
      <w:marBottom w:val="0"/>
      <w:divBdr>
        <w:top w:val="none" w:sz="0" w:space="0" w:color="auto"/>
        <w:left w:val="none" w:sz="0" w:space="0" w:color="auto"/>
        <w:bottom w:val="none" w:sz="0" w:space="0" w:color="auto"/>
        <w:right w:val="none" w:sz="0" w:space="0" w:color="auto"/>
      </w:divBdr>
    </w:div>
    <w:div w:id="264383378">
      <w:bodyDiv w:val="1"/>
      <w:marLeft w:val="0"/>
      <w:marRight w:val="0"/>
      <w:marTop w:val="0"/>
      <w:marBottom w:val="0"/>
      <w:divBdr>
        <w:top w:val="none" w:sz="0" w:space="0" w:color="auto"/>
        <w:left w:val="none" w:sz="0" w:space="0" w:color="auto"/>
        <w:bottom w:val="none" w:sz="0" w:space="0" w:color="auto"/>
        <w:right w:val="none" w:sz="0" w:space="0" w:color="auto"/>
      </w:divBdr>
    </w:div>
    <w:div w:id="269971950">
      <w:bodyDiv w:val="1"/>
      <w:marLeft w:val="0"/>
      <w:marRight w:val="0"/>
      <w:marTop w:val="0"/>
      <w:marBottom w:val="0"/>
      <w:divBdr>
        <w:top w:val="none" w:sz="0" w:space="0" w:color="auto"/>
        <w:left w:val="none" w:sz="0" w:space="0" w:color="auto"/>
        <w:bottom w:val="none" w:sz="0" w:space="0" w:color="auto"/>
        <w:right w:val="none" w:sz="0" w:space="0" w:color="auto"/>
      </w:divBdr>
    </w:div>
    <w:div w:id="284582044">
      <w:bodyDiv w:val="1"/>
      <w:marLeft w:val="0"/>
      <w:marRight w:val="0"/>
      <w:marTop w:val="0"/>
      <w:marBottom w:val="0"/>
      <w:divBdr>
        <w:top w:val="none" w:sz="0" w:space="0" w:color="auto"/>
        <w:left w:val="none" w:sz="0" w:space="0" w:color="auto"/>
        <w:bottom w:val="none" w:sz="0" w:space="0" w:color="auto"/>
        <w:right w:val="none" w:sz="0" w:space="0" w:color="auto"/>
      </w:divBdr>
      <w:divsChild>
        <w:div w:id="1804959069">
          <w:marLeft w:val="907"/>
          <w:marRight w:val="0"/>
          <w:marTop w:val="0"/>
          <w:marBottom w:val="0"/>
          <w:divBdr>
            <w:top w:val="none" w:sz="0" w:space="0" w:color="auto"/>
            <w:left w:val="none" w:sz="0" w:space="0" w:color="auto"/>
            <w:bottom w:val="none" w:sz="0" w:space="0" w:color="auto"/>
            <w:right w:val="none" w:sz="0" w:space="0" w:color="auto"/>
          </w:divBdr>
        </w:div>
      </w:divsChild>
    </w:div>
    <w:div w:id="305549626">
      <w:bodyDiv w:val="1"/>
      <w:marLeft w:val="0"/>
      <w:marRight w:val="0"/>
      <w:marTop w:val="0"/>
      <w:marBottom w:val="0"/>
      <w:divBdr>
        <w:top w:val="none" w:sz="0" w:space="0" w:color="auto"/>
        <w:left w:val="none" w:sz="0" w:space="0" w:color="auto"/>
        <w:bottom w:val="none" w:sz="0" w:space="0" w:color="auto"/>
        <w:right w:val="none" w:sz="0" w:space="0" w:color="auto"/>
      </w:divBdr>
    </w:div>
    <w:div w:id="324474881">
      <w:bodyDiv w:val="1"/>
      <w:marLeft w:val="0"/>
      <w:marRight w:val="0"/>
      <w:marTop w:val="0"/>
      <w:marBottom w:val="0"/>
      <w:divBdr>
        <w:top w:val="none" w:sz="0" w:space="0" w:color="auto"/>
        <w:left w:val="none" w:sz="0" w:space="0" w:color="auto"/>
        <w:bottom w:val="none" w:sz="0" w:space="0" w:color="auto"/>
        <w:right w:val="none" w:sz="0" w:space="0" w:color="auto"/>
      </w:divBdr>
    </w:div>
    <w:div w:id="339358055">
      <w:bodyDiv w:val="1"/>
      <w:marLeft w:val="0"/>
      <w:marRight w:val="0"/>
      <w:marTop w:val="0"/>
      <w:marBottom w:val="0"/>
      <w:divBdr>
        <w:top w:val="none" w:sz="0" w:space="0" w:color="auto"/>
        <w:left w:val="none" w:sz="0" w:space="0" w:color="auto"/>
        <w:bottom w:val="none" w:sz="0" w:space="0" w:color="auto"/>
        <w:right w:val="none" w:sz="0" w:space="0" w:color="auto"/>
      </w:divBdr>
    </w:div>
    <w:div w:id="361056547">
      <w:bodyDiv w:val="1"/>
      <w:marLeft w:val="0"/>
      <w:marRight w:val="0"/>
      <w:marTop w:val="0"/>
      <w:marBottom w:val="0"/>
      <w:divBdr>
        <w:top w:val="none" w:sz="0" w:space="0" w:color="auto"/>
        <w:left w:val="none" w:sz="0" w:space="0" w:color="auto"/>
        <w:bottom w:val="none" w:sz="0" w:space="0" w:color="auto"/>
        <w:right w:val="none" w:sz="0" w:space="0" w:color="auto"/>
      </w:divBdr>
    </w:div>
    <w:div w:id="373695768">
      <w:bodyDiv w:val="1"/>
      <w:marLeft w:val="0"/>
      <w:marRight w:val="0"/>
      <w:marTop w:val="0"/>
      <w:marBottom w:val="0"/>
      <w:divBdr>
        <w:top w:val="none" w:sz="0" w:space="0" w:color="auto"/>
        <w:left w:val="none" w:sz="0" w:space="0" w:color="auto"/>
        <w:bottom w:val="none" w:sz="0" w:space="0" w:color="auto"/>
        <w:right w:val="none" w:sz="0" w:space="0" w:color="auto"/>
      </w:divBdr>
    </w:div>
    <w:div w:id="422537069">
      <w:bodyDiv w:val="1"/>
      <w:marLeft w:val="0"/>
      <w:marRight w:val="0"/>
      <w:marTop w:val="0"/>
      <w:marBottom w:val="0"/>
      <w:divBdr>
        <w:top w:val="none" w:sz="0" w:space="0" w:color="auto"/>
        <w:left w:val="none" w:sz="0" w:space="0" w:color="auto"/>
        <w:bottom w:val="none" w:sz="0" w:space="0" w:color="auto"/>
        <w:right w:val="none" w:sz="0" w:space="0" w:color="auto"/>
      </w:divBdr>
    </w:div>
    <w:div w:id="428937468">
      <w:bodyDiv w:val="1"/>
      <w:marLeft w:val="0"/>
      <w:marRight w:val="0"/>
      <w:marTop w:val="0"/>
      <w:marBottom w:val="0"/>
      <w:divBdr>
        <w:top w:val="none" w:sz="0" w:space="0" w:color="auto"/>
        <w:left w:val="none" w:sz="0" w:space="0" w:color="auto"/>
        <w:bottom w:val="none" w:sz="0" w:space="0" w:color="auto"/>
        <w:right w:val="none" w:sz="0" w:space="0" w:color="auto"/>
      </w:divBdr>
    </w:div>
    <w:div w:id="438569617">
      <w:bodyDiv w:val="1"/>
      <w:marLeft w:val="0"/>
      <w:marRight w:val="0"/>
      <w:marTop w:val="0"/>
      <w:marBottom w:val="0"/>
      <w:divBdr>
        <w:top w:val="none" w:sz="0" w:space="0" w:color="auto"/>
        <w:left w:val="none" w:sz="0" w:space="0" w:color="auto"/>
        <w:bottom w:val="none" w:sz="0" w:space="0" w:color="auto"/>
        <w:right w:val="none" w:sz="0" w:space="0" w:color="auto"/>
      </w:divBdr>
    </w:div>
    <w:div w:id="454297252">
      <w:bodyDiv w:val="1"/>
      <w:marLeft w:val="0"/>
      <w:marRight w:val="0"/>
      <w:marTop w:val="0"/>
      <w:marBottom w:val="0"/>
      <w:divBdr>
        <w:top w:val="none" w:sz="0" w:space="0" w:color="auto"/>
        <w:left w:val="none" w:sz="0" w:space="0" w:color="auto"/>
        <w:bottom w:val="none" w:sz="0" w:space="0" w:color="auto"/>
        <w:right w:val="none" w:sz="0" w:space="0" w:color="auto"/>
      </w:divBdr>
    </w:div>
    <w:div w:id="464203172">
      <w:bodyDiv w:val="1"/>
      <w:marLeft w:val="0"/>
      <w:marRight w:val="0"/>
      <w:marTop w:val="0"/>
      <w:marBottom w:val="0"/>
      <w:divBdr>
        <w:top w:val="none" w:sz="0" w:space="0" w:color="auto"/>
        <w:left w:val="none" w:sz="0" w:space="0" w:color="auto"/>
        <w:bottom w:val="none" w:sz="0" w:space="0" w:color="auto"/>
        <w:right w:val="none" w:sz="0" w:space="0" w:color="auto"/>
      </w:divBdr>
    </w:div>
    <w:div w:id="466975498">
      <w:bodyDiv w:val="1"/>
      <w:marLeft w:val="0"/>
      <w:marRight w:val="0"/>
      <w:marTop w:val="0"/>
      <w:marBottom w:val="0"/>
      <w:divBdr>
        <w:top w:val="none" w:sz="0" w:space="0" w:color="auto"/>
        <w:left w:val="none" w:sz="0" w:space="0" w:color="auto"/>
        <w:bottom w:val="none" w:sz="0" w:space="0" w:color="auto"/>
        <w:right w:val="none" w:sz="0" w:space="0" w:color="auto"/>
      </w:divBdr>
    </w:div>
    <w:div w:id="491720589">
      <w:bodyDiv w:val="1"/>
      <w:marLeft w:val="0"/>
      <w:marRight w:val="0"/>
      <w:marTop w:val="0"/>
      <w:marBottom w:val="0"/>
      <w:divBdr>
        <w:top w:val="none" w:sz="0" w:space="0" w:color="auto"/>
        <w:left w:val="none" w:sz="0" w:space="0" w:color="auto"/>
        <w:bottom w:val="none" w:sz="0" w:space="0" w:color="auto"/>
        <w:right w:val="none" w:sz="0" w:space="0" w:color="auto"/>
      </w:divBdr>
    </w:div>
    <w:div w:id="494684087">
      <w:bodyDiv w:val="1"/>
      <w:marLeft w:val="0"/>
      <w:marRight w:val="0"/>
      <w:marTop w:val="0"/>
      <w:marBottom w:val="0"/>
      <w:divBdr>
        <w:top w:val="none" w:sz="0" w:space="0" w:color="auto"/>
        <w:left w:val="none" w:sz="0" w:space="0" w:color="auto"/>
        <w:bottom w:val="none" w:sz="0" w:space="0" w:color="auto"/>
        <w:right w:val="none" w:sz="0" w:space="0" w:color="auto"/>
      </w:divBdr>
      <w:divsChild>
        <w:div w:id="2028015976">
          <w:marLeft w:val="907"/>
          <w:marRight w:val="0"/>
          <w:marTop w:val="0"/>
          <w:marBottom w:val="0"/>
          <w:divBdr>
            <w:top w:val="none" w:sz="0" w:space="0" w:color="auto"/>
            <w:left w:val="none" w:sz="0" w:space="0" w:color="auto"/>
            <w:bottom w:val="none" w:sz="0" w:space="0" w:color="auto"/>
            <w:right w:val="none" w:sz="0" w:space="0" w:color="auto"/>
          </w:divBdr>
        </w:div>
        <w:div w:id="1264535851">
          <w:marLeft w:val="907"/>
          <w:marRight w:val="0"/>
          <w:marTop w:val="0"/>
          <w:marBottom w:val="0"/>
          <w:divBdr>
            <w:top w:val="none" w:sz="0" w:space="0" w:color="auto"/>
            <w:left w:val="none" w:sz="0" w:space="0" w:color="auto"/>
            <w:bottom w:val="none" w:sz="0" w:space="0" w:color="auto"/>
            <w:right w:val="none" w:sz="0" w:space="0" w:color="auto"/>
          </w:divBdr>
        </w:div>
        <w:div w:id="1675768379">
          <w:marLeft w:val="907"/>
          <w:marRight w:val="0"/>
          <w:marTop w:val="0"/>
          <w:marBottom w:val="0"/>
          <w:divBdr>
            <w:top w:val="none" w:sz="0" w:space="0" w:color="auto"/>
            <w:left w:val="none" w:sz="0" w:space="0" w:color="auto"/>
            <w:bottom w:val="none" w:sz="0" w:space="0" w:color="auto"/>
            <w:right w:val="none" w:sz="0" w:space="0" w:color="auto"/>
          </w:divBdr>
        </w:div>
      </w:divsChild>
    </w:div>
    <w:div w:id="510489426">
      <w:bodyDiv w:val="1"/>
      <w:marLeft w:val="0"/>
      <w:marRight w:val="0"/>
      <w:marTop w:val="0"/>
      <w:marBottom w:val="0"/>
      <w:divBdr>
        <w:top w:val="none" w:sz="0" w:space="0" w:color="auto"/>
        <w:left w:val="none" w:sz="0" w:space="0" w:color="auto"/>
        <w:bottom w:val="none" w:sz="0" w:space="0" w:color="auto"/>
        <w:right w:val="none" w:sz="0" w:space="0" w:color="auto"/>
      </w:divBdr>
      <w:divsChild>
        <w:div w:id="206452550">
          <w:marLeft w:val="907"/>
          <w:marRight w:val="0"/>
          <w:marTop w:val="0"/>
          <w:marBottom w:val="0"/>
          <w:divBdr>
            <w:top w:val="none" w:sz="0" w:space="0" w:color="auto"/>
            <w:left w:val="none" w:sz="0" w:space="0" w:color="auto"/>
            <w:bottom w:val="none" w:sz="0" w:space="0" w:color="auto"/>
            <w:right w:val="none" w:sz="0" w:space="0" w:color="auto"/>
          </w:divBdr>
        </w:div>
      </w:divsChild>
    </w:div>
    <w:div w:id="514924676">
      <w:bodyDiv w:val="1"/>
      <w:marLeft w:val="0"/>
      <w:marRight w:val="0"/>
      <w:marTop w:val="0"/>
      <w:marBottom w:val="0"/>
      <w:divBdr>
        <w:top w:val="none" w:sz="0" w:space="0" w:color="auto"/>
        <w:left w:val="none" w:sz="0" w:space="0" w:color="auto"/>
        <w:bottom w:val="none" w:sz="0" w:space="0" w:color="auto"/>
        <w:right w:val="none" w:sz="0" w:space="0" w:color="auto"/>
      </w:divBdr>
      <w:divsChild>
        <w:div w:id="1786339590">
          <w:marLeft w:val="907"/>
          <w:marRight w:val="0"/>
          <w:marTop w:val="0"/>
          <w:marBottom w:val="0"/>
          <w:divBdr>
            <w:top w:val="none" w:sz="0" w:space="0" w:color="auto"/>
            <w:left w:val="none" w:sz="0" w:space="0" w:color="auto"/>
            <w:bottom w:val="none" w:sz="0" w:space="0" w:color="auto"/>
            <w:right w:val="none" w:sz="0" w:space="0" w:color="auto"/>
          </w:divBdr>
        </w:div>
        <w:div w:id="1833524043">
          <w:marLeft w:val="907"/>
          <w:marRight w:val="0"/>
          <w:marTop w:val="0"/>
          <w:marBottom w:val="0"/>
          <w:divBdr>
            <w:top w:val="none" w:sz="0" w:space="0" w:color="auto"/>
            <w:left w:val="none" w:sz="0" w:space="0" w:color="auto"/>
            <w:bottom w:val="none" w:sz="0" w:space="0" w:color="auto"/>
            <w:right w:val="none" w:sz="0" w:space="0" w:color="auto"/>
          </w:divBdr>
        </w:div>
        <w:div w:id="963468172">
          <w:marLeft w:val="907"/>
          <w:marRight w:val="0"/>
          <w:marTop w:val="0"/>
          <w:marBottom w:val="0"/>
          <w:divBdr>
            <w:top w:val="none" w:sz="0" w:space="0" w:color="auto"/>
            <w:left w:val="none" w:sz="0" w:space="0" w:color="auto"/>
            <w:bottom w:val="none" w:sz="0" w:space="0" w:color="auto"/>
            <w:right w:val="none" w:sz="0" w:space="0" w:color="auto"/>
          </w:divBdr>
        </w:div>
        <w:div w:id="786001504">
          <w:marLeft w:val="907"/>
          <w:marRight w:val="0"/>
          <w:marTop w:val="0"/>
          <w:marBottom w:val="0"/>
          <w:divBdr>
            <w:top w:val="none" w:sz="0" w:space="0" w:color="auto"/>
            <w:left w:val="none" w:sz="0" w:space="0" w:color="auto"/>
            <w:bottom w:val="none" w:sz="0" w:space="0" w:color="auto"/>
            <w:right w:val="none" w:sz="0" w:space="0" w:color="auto"/>
          </w:divBdr>
        </w:div>
        <w:div w:id="2012025653">
          <w:marLeft w:val="907"/>
          <w:marRight w:val="0"/>
          <w:marTop w:val="0"/>
          <w:marBottom w:val="0"/>
          <w:divBdr>
            <w:top w:val="none" w:sz="0" w:space="0" w:color="auto"/>
            <w:left w:val="none" w:sz="0" w:space="0" w:color="auto"/>
            <w:bottom w:val="none" w:sz="0" w:space="0" w:color="auto"/>
            <w:right w:val="none" w:sz="0" w:space="0" w:color="auto"/>
          </w:divBdr>
        </w:div>
        <w:div w:id="657728105">
          <w:marLeft w:val="907"/>
          <w:marRight w:val="0"/>
          <w:marTop w:val="0"/>
          <w:marBottom w:val="0"/>
          <w:divBdr>
            <w:top w:val="none" w:sz="0" w:space="0" w:color="auto"/>
            <w:left w:val="none" w:sz="0" w:space="0" w:color="auto"/>
            <w:bottom w:val="none" w:sz="0" w:space="0" w:color="auto"/>
            <w:right w:val="none" w:sz="0" w:space="0" w:color="auto"/>
          </w:divBdr>
        </w:div>
        <w:div w:id="286742308">
          <w:marLeft w:val="907"/>
          <w:marRight w:val="0"/>
          <w:marTop w:val="0"/>
          <w:marBottom w:val="0"/>
          <w:divBdr>
            <w:top w:val="none" w:sz="0" w:space="0" w:color="auto"/>
            <w:left w:val="none" w:sz="0" w:space="0" w:color="auto"/>
            <w:bottom w:val="none" w:sz="0" w:space="0" w:color="auto"/>
            <w:right w:val="none" w:sz="0" w:space="0" w:color="auto"/>
          </w:divBdr>
        </w:div>
      </w:divsChild>
    </w:div>
    <w:div w:id="529730641">
      <w:bodyDiv w:val="1"/>
      <w:marLeft w:val="0"/>
      <w:marRight w:val="0"/>
      <w:marTop w:val="0"/>
      <w:marBottom w:val="0"/>
      <w:divBdr>
        <w:top w:val="none" w:sz="0" w:space="0" w:color="auto"/>
        <w:left w:val="none" w:sz="0" w:space="0" w:color="auto"/>
        <w:bottom w:val="none" w:sz="0" w:space="0" w:color="auto"/>
        <w:right w:val="none" w:sz="0" w:space="0" w:color="auto"/>
      </w:divBdr>
    </w:div>
    <w:div w:id="540750077">
      <w:bodyDiv w:val="1"/>
      <w:marLeft w:val="0"/>
      <w:marRight w:val="0"/>
      <w:marTop w:val="0"/>
      <w:marBottom w:val="0"/>
      <w:divBdr>
        <w:top w:val="none" w:sz="0" w:space="0" w:color="auto"/>
        <w:left w:val="none" w:sz="0" w:space="0" w:color="auto"/>
        <w:bottom w:val="none" w:sz="0" w:space="0" w:color="auto"/>
        <w:right w:val="none" w:sz="0" w:space="0" w:color="auto"/>
      </w:divBdr>
      <w:divsChild>
        <w:div w:id="202602026">
          <w:marLeft w:val="907"/>
          <w:marRight w:val="0"/>
          <w:marTop w:val="0"/>
          <w:marBottom w:val="0"/>
          <w:divBdr>
            <w:top w:val="none" w:sz="0" w:space="0" w:color="auto"/>
            <w:left w:val="none" w:sz="0" w:space="0" w:color="auto"/>
            <w:bottom w:val="none" w:sz="0" w:space="0" w:color="auto"/>
            <w:right w:val="none" w:sz="0" w:space="0" w:color="auto"/>
          </w:divBdr>
        </w:div>
        <w:div w:id="1341618053">
          <w:marLeft w:val="907"/>
          <w:marRight w:val="0"/>
          <w:marTop w:val="0"/>
          <w:marBottom w:val="0"/>
          <w:divBdr>
            <w:top w:val="none" w:sz="0" w:space="0" w:color="auto"/>
            <w:left w:val="none" w:sz="0" w:space="0" w:color="auto"/>
            <w:bottom w:val="none" w:sz="0" w:space="0" w:color="auto"/>
            <w:right w:val="none" w:sz="0" w:space="0" w:color="auto"/>
          </w:divBdr>
        </w:div>
        <w:div w:id="864175901">
          <w:marLeft w:val="907"/>
          <w:marRight w:val="0"/>
          <w:marTop w:val="0"/>
          <w:marBottom w:val="0"/>
          <w:divBdr>
            <w:top w:val="none" w:sz="0" w:space="0" w:color="auto"/>
            <w:left w:val="none" w:sz="0" w:space="0" w:color="auto"/>
            <w:bottom w:val="none" w:sz="0" w:space="0" w:color="auto"/>
            <w:right w:val="none" w:sz="0" w:space="0" w:color="auto"/>
          </w:divBdr>
        </w:div>
        <w:div w:id="1756323882">
          <w:marLeft w:val="907"/>
          <w:marRight w:val="0"/>
          <w:marTop w:val="0"/>
          <w:marBottom w:val="0"/>
          <w:divBdr>
            <w:top w:val="none" w:sz="0" w:space="0" w:color="auto"/>
            <w:left w:val="none" w:sz="0" w:space="0" w:color="auto"/>
            <w:bottom w:val="none" w:sz="0" w:space="0" w:color="auto"/>
            <w:right w:val="none" w:sz="0" w:space="0" w:color="auto"/>
          </w:divBdr>
        </w:div>
        <w:div w:id="1387292520">
          <w:marLeft w:val="907"/>
          <w:marRight w:val="0"/>
          <w:marTop w:val="0"/>
          <w:marBottom w:val="0"/>
          <w:divBdr>
            <w:top w:val="none" w:sz="0" w:space="0" w:color="auto"/>
            <w:left w:val="none" w:sz="0" w:space="0" w:color="auto"/>
            <w:bottom w:val="none" w:sz="0" w:space="0" w:color="auto"/>
            <w:right w:val="none" w:sz="0" w:space="0" w:color="auto"/>
          </w:divBdr>
        </w:div>
      </w:divsChild>
    </w:div>
    <w:div w:id="557402039">
      <w:bodyDiv w:val="1"/>
      <w:marLeft w:val="0"/>
      <w:marRight w:val="0"/>
      <w:marTop w:val="0"/>
      <w:marBottom w:val="0"/>
      <w:divBdr>
        <w:top w:val="none" w:sz="0" w:space="0" w:color="auto"/>
        <w:left w:val="none" w:sz="0" w:space="0" w:color="auto"/>
        <w:bottom w:val="none" w:sz="0" w:space="0" w:color="auto"/>
        <w:right w:val="none" w:sz="0" w:space="0" w:color="auto"/>
      </w:divBdr>
    </w:div>
    <w:div w:id="600918718">
      <w:bodyDiv w:val="1"/>
      <w:marLeft w:val="0"/>
      <w:marRight w:val="0"/>
      <w:marTop w:val="0"/>
      <w:marBottom w:val="0"/>
      <w:divBdr>
        <w:top w:val="none" w:sz="0" w:space="0" w:color="auto"/>
        <w:left w:val="none" w:sz="0" w:space="0" w:color="auto"/>
        <w:bottom w:val="none" w:sz="0" w:space="0" w:color="auto"/>
        <w:right w:val="none" w:sz="0" w:space="0" w:color="auto"/>
      </w:divBdr>
    </w:div>
    <w:div w:id="625502406">
      <w:bodyDiv w:val="1"/>
      <w:marLeft w:val="0"/>
      <w:marRight w:val="0"/>
      <w:marTop w:val="0"/>
      <w:marBottom w:val="0"/>
      <w:divBdr>
        <w:top w:val="none" w:sz="0" w:space="0" w:color="auto"/>
        <w:left w:val="none" w:sz="0" w:space="0" w:color="auto"/>
        <w:bottom w:val="none" w:sz="0" w:space="0" w:color="auto"/>
        <w:right w:val="none" w:sz="0" w:space="0" w:color="auto"/>
      </w:divBdr>
      <w:divsChild>
        <w:div w:id="1123236011">
          <w:marLeft w:val="907"/>
          <w:marRight w:val="0"/>
          <w:marTop w:val="0"/>
          <w:marBottom w:val="0"/>
          <w:divBdr>
            <w:top w:val="none" w:sz="0" w:space="0" w:color="auto"/>
            <w:left w:val="none" w:sz="0" w:space="0" w:color="auto"/>
            <w:bottom w:val="none" w:sz="0" w:space="0" w:color="auto"/>
            <w:right w:val="none" w:sz="0" w:space="0" w:color="auto"/>
          </w:divBdr>
        </w:div>
        <w:div w:id="1935239225">
          <w:marLeft w:val="907"/>
          <w:marRight w:val="0"/>
          <w:marTop w:val="0"/>
          <w:marBottom w:val="0"/>
          <w:divBdr>
            <w:top w:val="none" w:sz="0" w:space="0" w:color="auto"/>
            <w:left w:val="none" w:sz="0" w:space="0" w:color="auto"/>
            <w:bottom w:val="none" w:sz="0" w:space="0" w:color="auto"/>
            <w:right w:val="none" w:sz="0" w:space="0" w:color="auto"/>
          </w:divBdr>
        </w:div>
        <w:div w:id="93789319">
          <w:marLeft w:val="907"/>
          <w:marRight w:val="0"/>
          <w:marTop w:val="0"/>
          <w:marBottom w:val="0"/>
          <w:divBdr>
            <w:top w:val="none" w:sz="0" w:space="0" w:color="auto"/>
            <w:left w:val="none" w:sz="0" w:space="0" w:color="auto"/>
            <w:bottom w:val="none" w:sz="0" w:space="0" w:color="auto"/>
            <w:right w:val="none" w:sz="0" w:space="0" w:color="auto"/>
          </w:divBdr>
        </w:div>
        <w:div w:id="2059862771">
          <w:marLeft w:val="907"/>
          <w:marRight w:val="0"/>
          <w:marTop w:val="0"/>
          <w:marBottom w:val="0"/>
          <w:divBdr>
            <w:top w:val="none" w:sz="0" w:space="0" w:color="auto"/>
            <w:left w:val="none" w:sz="0" w:space="0" w:color="auto"/>
            <w:bottom w:val="none" w:sz="0" w:space="0" w:color="auto"/>
            <w:right w:val="none" w:sz="0" w:space="0" w:color="auto"/>
          </w:divBdr>
        </w:div>
      </w:divsChild>
    </w:div>
    <w:div w:id="635643436">
      <w:bodyDiv w:val="1"/>
      <w:marLeft w:val="0"/>
      <w:marRight w:val="0"/>
      <w:marTop w:val="0"/>
      <w:marBottom w:val="0"/>
      <w:divBdr>
        <w:top w:val="none" w:sz="0" w:space="0" w:color="auto"/>
        <w:left w:val="none" w:sz="0" w:space="0" w:color="auto"/>
        <w:bottom w:val="none" w:sz="0" w:space="0" w:color="auto"/>
        <w:right w:val="none" w:sz="0" w:space="0" w:color="auto"/>
      </w:divBdr>
    </w:div>
    <w:div w:id="635836260">
      <w:bodyDiv w:val="1"/>
      <w:marLeft w:val="0"/>
      <w:marRight w:val="0"/>
      <w:marTop w:val="0"/>
      <w:marBottom w:val="0"/>
      <w:divBdr>
        <w:top w:val="none" w:sz="0" w:space="0" w:color="auto"/>
        <w:left w:val="none" w:sz="0" w:space="0" w:color="auto"/>
        <w:bottom w:val="none" w:sz="0" w:space="0" w:color="auto"/>
        <w:right w:val="none" w:sz="0" w:space="0" w:color="auto"/>
      </w:divBdr>
      <w:divsChild>
        <w:div w:id="842626120">
          <w:marLeft w:val="0"/>
          <w:marRight w:val="0"/>
          <w:marTop w:val="0"/>
          <w:marBottom w:val="0"/>
          <w:divBdr>
            <w:top w:val="none" w:sz="0" w:space="0" w:color="auto"/>
            <w:left w:val="none" w:sz="0" w:space="0" w:color="auto"/>
            <w:bottom w:val="none" w:sz="0" w:space="0" w:color="auto"/>
            <w:right w:val="none" w:sz="0" w:space="0" w:color="auto"/>
          </w:divBdr>
          <w:divsChild>
            <w:div w:id="1120613287">
              <w:marLeft w:val="0"/>
              <w:marRight w:val="0"/>
              <w:marTop w:val="0"/>
              <w:marBottom w:val="0"/>
              <w:divBdr>
                <w:top w:val="none" w:sz="0" w:space="0" w:color="auto"/>
                <w:left w:val="none" w:sz="0" w:space="0" w:color="auto"/>
                <w:bottom w:val="none" w:sz="0" w:space="0" w:color="auto"/>
                <w:right w:val="none" w:sz="0" w:space="0" w:color="auto"/>
              </w:divBdr>
              <w:divsChild>
                <w:div w:id="1026101284">
                  <w:marLeft w:val="0"/>
                  <w:marRight w:val="0"/>
                  <w:marTop w:val="0"/>
                  <w:marBottom w:val="0"/>
                  <w:divBdr>
                    <w:top w:val="none" w:sz="0" w:space="0" w:color="auto"/>
                    <w:left w:val="none" w:sz="0" w:space="0" w:color="auto"/>
                    <w:bottom w:val="none" w:sz="0" w:space="0" w:color="auto"/>
                    <w:right w:val="none" w:sz="0" w:space="0" w:color="auto"/>
                  </w:divBdr>
                  <w:divsChild>
                    <w:div w:id="325279625">
                      <w:marLeft w:val="0"/>
                      <w:marRight w:val="0"/>
                      <w:marTop w:val="0"/>
                      <w:marBottom w:val="0"/>
                      <w:divBdr>
                        <w:top w:val="none" w:sz="0" w:space="0" w:color="auto"/>
                        <w:left w:val="none" w:sz="0" w:space="0" w:color="auto"/>
                        <w:bottom w:val="none" w:sz="0" w:space="0" w:color="auto"/>
                        <w:right w:val="none" w:sz="0" w:space="0" w:color="auto"/>
                      </w:divBdr>
                      <w:divsChild>
                        <w:div w:id="315651057">
                          <w:marLeft w:val="0"/>
                          <w:marRight w:val="0"/>
                          <w:marTop w:val="0"/>
                          <w:marBottom w:val="0"/>
                          <w:divBdr>
                            <w:top w:val="none" w:sz="0" w:space="0" w:color="auto"/>
                            <w:left w:val="none" w:sz="0" w:space="0" w:color="auto"/>
                            <w:bottom w:val="none" w:sz="0" w:space="0" w:color="auto"/>
                            <w:right w:val="none" w:sz="0" w:space="0" w:color="auto"/>
                          </w:divBdr>
                          <w:divsChild>
                            <w:div w:id="777799305">
                              <w:marLeft w:val="0"/>
                              <w:marRight w:val="0"/>
                              <w:marTop w:val="0"/>
                              <w:marBottom w:val="0"/>
                              <w:divBdr>
                                <w:top w:val="none" w:sz="0" w:space="0" w:color="auto"/>
                                <w:left w:val="none" w:sz="0" w:space="0" w:color="auto"/>
                                <w:bottom w:val="none" w:sz="0" w:space="0" w:color="auto"/>
                                <w:right w:val="none" w:sz="0" w:space="0" w:color="auto"/>
                              </w:divBdr>
                              <w:divsChild>
                                <w:div w:id="891382199">
                                  <w:marLeft w:val="0"/>
                                  <w:marRight w:val="0"/>
                                  <w:marTop w:val="0"/>
                                  <w:marBottom w:val="0"/>
                                  <w:divBdr>
                                    <w:top w:val="none" w:sz="0" w:space="0" w:color="auto"/>
                                    <w:left w:val="none" w:sz="0" w:space="0" w:color="auto"/>
                                    <w:bottom w:val="none" w:sz="0" w:space="0" w:color="auto"/>
                                    <w:right w:val="none" w:sz="0" w:space="0" w:color="auto"/>
                                  </w:divBdr>
                                  <w:divsChild>
                                    <w:div w:id="175964368">
                                      <w:marLeft w:val="0"/>
                                      <w:marRight w:val="0"/>
                                      <w:marTop w:val="0"/>
                                      <w:marBottom w:val="0"/>
                                      <w:divBdr>
                                        <w:top w:val="none" w:sz="0" w:space="0" w:color="auto"/>
                                        <w:left w:val="none" w:sz="0" w:space="0" w:color="auto"/>
                                        <w:bottom w:val="none" w:sz="0" w:space="0" w:color="auto"/>
                                        <w:right w:val="none" w:sz="0" w:space="0" w:color="auto"/>
                                      </w:divBdr>
                                      <w:divsChild>
                                        <w:div w:id="1082751021">
                                          <w:marLeft w:val="0"/>
                                          <w:marRight w:val="0"/>
                                          <w:marTop w:val="0"/>
                                          <w:marBottom w:val="0"/>
                                          <w:divBdr>
                                            <w:top w:val="none" w:sz="0" w:space="0" w:color="auto"/>
                                            <w:left w:val="none" w:sz="0" w:space="0" w:color="auto"/>
                                            <w:bottom w:val="none" w:sz="0" w:space="0" w:color="auto"/>
                                            <w:right w:val="none" w:sz="0" w:space="0" w:color="auto"/>
                                          </w:divBdr>
                                          <w:divsChild>
                                            <w:div w:id="1876847405">
                                              <w:marLeft w:val="0"/>
                                              <w:marRight w:val="0"/>
                                              <w:marTop w:val="0"/>
                                              <w:marBottom w:val="0"/>
                                              <w:divBdr>
                                                <w:top w:val="none" w:sz="0" w:space="0" w:color="auto"/>
                                                <w:left w:val="none" w:sz="0" w:space="0" w:color="auto"/>
                                                <w:bottom w:val="none" w:sz="0" w:space="0" w:color="auto"/>
                                                <w:right w:val="none" w:sz="0" w:space="0" w:color="auto"/>
                                              </w:divBdr>
                                              <w:divsChild>
                                                <w:div w:id="372660573">
                                                  <w:marLeft w:val="0"/>
                                                  <w:marRight w:val="0"/>
                                                  <w:marTop w:val="0"/>
                                                  <w:marBottom w:val="0"/>
                                                  <w:divBdr>
                                                    <w:top w:val="none" w:sz="0" w:space="0" w:color="auto"/>
                                                    <w:left w:val="none" w:sz="0" w:space="0" w:color="auto"/>
                                                    <w:bottom w:val="none" w:sz="0" w:space="0" w:color="auto"/>
                                                    <w:right w:val="none" w:sz="0" w:space="0" w:color="auto"/>
                                                  </w:divBdr>
                                                  <w:divsChild>
                                                    <w:div w:id="1689794734">
                                                      <w:marLeft w:val="0"/>
                                                      <w:marRight w:val="0"/>
                                                      <w:marTop w:val="0"/>
                                                      <w:marBottom w:val="0"/>
                                                      <w:divBdr>
                                                        <w:top w:val="none" w:sz="0" w:space="0" w:color="auto"/>
                                                        <w:left w:val="none" w:sz="0" w:space="0" w:color="auto"/>
                                                        <w:bottom w:val="none" w:sz="0" w:space="0" w:color="auto"/>
                                                        <w:right w:val="none" w:sz="0" w:space="0" w:color="auto"/>
                                                      </w:divBdr>
                                                      <w:divsChild>
                                                        <w:div w:id="45517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0138823">
      <w:bodyDiv w:val="1"/>
      <w:marLeft w:val="0"/>
      <w:marRight w:val="0"/>
      <w:marTop w:val="0"/>
      <w:marBottom w:val="0"/>
      <w:divBdr>
        <w:top w:val="none" w:sz="0" w:space="0" w:color="auto"/>
        <w:left w:val="none" w:sz="0" w:space="0" w:color="auto"/>
        <w:bottom w:val="none" w:sz="0" w:space="0" w:color="auto"/>
        <w:right w:val="none" w:sz="0" w:space="0" w:color="auto"/>
      </w:divBdr>
    </w:div>
    <w:div w:id="654257187">
      <w:bodyDiv w:val="1"/>
      <w:marLeft w:val="0"/>
      <w:marRight w:val="0"/>
      <w:marTop w:val="0"/>
      <w:marBottom w:val="0"/>
      <w:divBdr>
        <w:top w:val="none" w:sz="0" w:space="0" w:color="auto"/>
        <w:left w:val="none" w:sz="0" w:space="0" w:color="auto"/>
        <w:bottom w:val="none" w:sz="0" w:space="0" w:color="auto"/>
        <w:right w:val="none" w:sz="0" w:space="0" w:color="auto"/>
      </w:divBdr>
    </w:div>
    <w:div w:id="671640951">
      <w:bodyDiv w:val="1"/>
      <w:marLeft w:val="0"/>
      <w:marRight w:val="0"/>
      <w:marTop w:val="0"/>
      <w:marBottom w:val="0"/>
      <w:divBdr>
        <w:top w:val="none" w:sz="0" w:space="0" w:color="auto"/>
        <w:left w:val="none" w:sz="0" w:space="0" w:color="auto"/>
        <w:bottom w:val="none" w:sz="0" w:space="0" w:color="auto"/>
        <w:right w:val="none" w:sz="0" w:space="0" w:color="auto"/>
      </w:divBdr>
    </w:div>
    <w:div w:id="681054002">
      <w:bodyDiv w:val="1"/>
      <w:marLeft w:val="0"/>
      <w:marRight w:val="0"/>
      <w:marTop w:val="0"/>
      <w:marBottom w:val="0"/>
      <w:divBdr>
        <w:top w:val="none" w:sz="0" w:space="0" w:color="auto"/>
        <w:left w:val="none" w:sz="0" w:space="0" w:color="auto"/>
        <w:bottom w:val="none" w:sz="0" w:space="0" w:color="auto"/>
        <w:right w:val="none" w:sz="0" w:space="0" w:color="auto"/>
      </w:divBdr>
      <w:divsChild>
        <w:div w:id="899704477">
          <w:marLeft w:val="907"/>
          <w:marRight w:val="0"/>
          <w:marTop w:val="0"/>
          <w:marBottom w:val="0"/>
          <w:divBdr>
            <w:top w:val="none" w:sz="0" w:space="0" w:color="auto"/>
            <w:left w:val="none" w:sz="0" w:space="0" w:color="auto"/>
            <w:bottom w:val="none" w:sz="0" w:space="0" w:color="auto"/>
            <w:right w:val="none" w:sz="0" w:space="0" w:color="auto"/>
          </w:divBdr>
        </w:div>
        <w:div w:id="902527324">
          <w:marLeft w:val="907"/>
          <w:marRight w:val="0"/>
          <w:marTop w:val="0"/>
          <w:marBottom w:val="0"/>
          <w:divBdr>
            <w:top w:val="none" w:sz="0" w:space="0" w:color="auto"/>
            <w:left w:val="none" w:sz="0" w:space="0" w:color="auto"/>
            <w:bottom w:val="none" w:sz="0" w:space="0" w:color="auto"/>
            <w:right w:val="none" w:sz="0" w:space="0" w:color="auto"/>
          </w:divBdr>
        </w:div>
        <w:div w:id="1958486573">
          <w:marLeft w:val="907"/>
          <w:marRight w:val="0"/>
          <w:marTop w:val="0"/>
          <w:marBottom w:val="0"/>
          <w:divBdr>
            <w:top w:val="none" w:sz="0" w:space="0" w:color="auto"/>
            <w:left w:val="none" w:sz="0" w:space="0" w:color="auto"/>
            <w:bottom w:val="none" w:sz="0" w:space="0" w:color="auto"/>
            <w:right w:val="none" w:sz="0" w:space="0" w:color="auto"/>
          </w:divBdr>
        </w:div>
        <w:div w:id="825903924">
          <w:marLeft w:val="907"/>
          <w:marRight w:val="0"/>
          <w:marTop w:val="0"/>
          <w:marBottom w:val="0"/>
          <w:divBdr>
            <w:top w:val="none" w:sz="0" w:space="0" w:color="auto"/>
            <w:left w:val="none" w:sz="0" w:space="0" w:color="auto"/>
            <w:bottom w:val="none" w:sz="0" w:space="0" w:color="auto"/>
            <w:right w:val="none" w:sz="0" w:space="0" w:color="auto"/>
          </w:divBdr>
        </w:div>
      </w:divsChild>
    </w:div>
    <w:div w:id="706879632">
      <w:bodyDiv w:val="1"/>
      <w:marLeft w:val="0"/>
      <w:marRight w:val="0"/>
      <w:marTop w:val="0"/>
      <w:marBottom w:val="0"/>
      <w:divBdr>
        <w:top w:val="none" w:sz="0" w:space="0" w:color="auto"/>
        <w:left w:val="none" w:sz="0" w:space="0" w:color="auto"/>
        <w:bottom w:val="none" w:sz="0" w:space="0" w:color="auto"/>
        <w:right w:val="none" w:sz="0" w:space="0" w:color="auto"/>
      </w:divBdr>
    </w:div>
    <w:div w:id="723141797">
      <w:bodyDiv w:val="1"/>
      <w:marLeft w:val="0"/>
      <w:marRight w:val="0"/>
      <w:marTop w:val="0"/>
      <w:marBottom w:val="0"/>
      <w:divBdr>
        <w:top w:val="none" w:sz="0" w:space="0" w:color="auto"/>
        <w:left w:val="none" w:sz="0" w:space="0" w:color="auto"/>
        <w:bottom w:val="none" w:sz="0" w:space="0" w:color="auto"/>
        <w:right w:val="none" w:sz="0" w:space="0" w:color="auto"/>
      </w:divBdr>
    </w:div>
    <w:div w:id="731929927">
      <w:bodyDiv w:val="1"/>
      <w:marLeft w:val="0"/>
      <w:marRight w:val="0"/>
      <w:marTop w:val="0"/>
      <w:marBottom w:val="0"/>
      <w:divBdr>
        <w:top w:val="none" w:sz="0" w:space="0" w:color="auto"/>
        <w:left w:val="none" w:sz="0" w:space="0" w:color="auto"/>
        <w:bottom w:val="none" w:sz="0" w:space="0" w:color="auto"/>
        <w:right w:val="none" w:sz="0" w:space="0" w:color="auto"/>
      </w:divBdr>
    </w:div>
    <w:div w:id="753279718">
      <w:bodyDiv w:val="1"/>
      <w:marLeft w:val="0"/>
      <w:marRight w:val="0"/>
      <w:marTop w:val="0"/>
      <w:marBottom w:val="0"/>
      <w:divBdr>
        <w:top w:val="none" w:sz="0" w:space="0" w:color="auto"/>
        <w:left w:val="none" w:sz="0" w:space="0" w:color="auto"/>
        <w:bottom w:val="none" w:sz="0" w:space="0" w:color="auto"/>
        <w:right w:val="none" w:sz="0" w:space="0" w:color="auto"/>
      </w:divBdr>
    </w:div>
    <w:div w:id="755246455">
      <w:bodyDiv w:val="1"/>
      <w:marLeft w:val="0"/>
      <w:marRight w:val="0"/>
      <w:marTop w:val="0"/>
      <w:marBottom w:val="0"/>
      <w:divBdr>
        <w:top w:val="none" w:sz="0" w:space="0" w:color="auto"/>
        <w:left w:val="none" w:sz="0" w:space="0" w:color="auto"/>
        <w:bottom w:val="none" w:sz="0" w:space="0" w:color="auto"/>
        <w:right w:val="none" w:sz="0" w:space="0" w:color="auto"/>
      </w:divBdr>
    </w:div>
    <w:div w:id="760218559">
      <w:bodyDiv w:val="1"/>
      <w:marLeft w:val="0"/>
      <w:marRight w:val="0"/>
      <w:marTop w:val="0"/>
      <w:marBottom w:val="0"/>
      <w:divBdr>
        <w:top w:val="none" w:sz="0" w:space="0" w:color="auto"/>
        <w:left w:val="none" w:sz="0" w:space="0" w:color="auto"/>
        <w:bottom w:val="none" w:sz="0" w:space="0" w:color="auto"/>
        <w:right w:val="none" w:sz="0" w:space="0" w:color="auto"/>
      </w:divBdr>
    </w:div>
    <w:div w:id="770394092">
      <w:bodyDiv w:val="1"/>
      <w:marLeft w:val="0"/>
      <w:marRight w:val="0"/>
      <w:marTop w:val="0"/>
      <w:marBottom w:val="0"/>
      <w:divBdr>
        <w:top w:val="none" w:sz="0" w:space="0" w:color="auto"/>
        <w:left w:val="none" w:sz="0" w:space="0" w:color="auto"/>
        <w:bottom w:val="none" w:sz="0" w:space="0" w:color="auto"/>
        <w:right w:val="none" w:sz="0" w:space="0" w:color="auto"/>
      </w:divBdr>
    </w:div>
    <w:div w:id="787427771">
      <w:bodyDiv w:val="1"/>
      <w:marLeft w:val="0"/>
      <w:marRight w:val="0"/>
      <w:marTop w:val="0"/>
      <w:marBottom w:val="0"/>
      <w:divBdr>
        <w:top w:val="none" w:sz="0" w:space="0" w:color="auto"/>
        <w:left w:val="none" w:sz="0" w:space="0" w:color="auto"/>
        <w:bottom w:val="none" w:sz="0" w:space="0" w:color="auto"/>
        <w:right w:val="none" w:sz="0" w:space="0" w:color="auto"/>
      </w:divBdr>
    </w:div>
    <w:div w:id="794758509">
      <w:bodyDiv w:val="1"/>
      <w:marLeft w:val="0"/>
      <w:marRight w:val="0"/>
      <w:marTop w:val="0"/>
      <w:marBottom w:val="0"/>
      <w:divBdr>
        <w:top w:val="none" w:sz="0" w:space="0" w:color="auto"/>
        <w:left w:val="none" w:sz="0" w:space="0" w:color="auto"/>
        <w:bottom w:val="none" w:sz="0" w:space="0" w:color="auto"/>
        <w:right w:val="none" w:sz="0" w:space="0" w:color="auto"/>
      </w:divBdr>
    </w:div>
    <w:div w:id="817722104">
      <w:bodyDiv w:val="1"/>
      <w:marLeft w:val="0"/>
      <w:marRight w:val="0"/>
      <w:marTop w:val="0"/>
      <w:marBottom w:val="0"/>
      <w:divBdr>
        <w:top w:val="none" w:sz="0" w:space="0" w:color="auto"/>
        <w:left w:val="none" w:sz="0" w:space="0" w:color="auto"/>
        <w:bottom w:val="none" w:sz="0" w:space="0" w:color="auto"/>
        <w:right w:val="none" w:sz="0" w:space="0" w:color="auto"/>
      </w:divBdr>
    </w:div>
    <w:div w:id="828446386">
      <w:bodyDiv w:val="1"/>
      <w:marLeft w:val="0"/>
      <w:marRight w:val="0"/>
      <w:marTop w:val="0"/>
      <w:marBottom w:val="0"/>
      <w:divBdr>
        <w:top w:val="none" w:sz="0" w:space="0" w:color="auto"/>
        <w:left w:val="none" w:sz="0" w:space="0" w:color="auto"/>
        <w:bottom w:val="none" w:sz="0" w:space="0" w:color="auto"/>
        <w:right w:val="none" w:sz="0" w:space="0" w:color="auto"/>
      </w:divBdr>
    </w:div>
    <w:div w:id="828595866">
      <w:bodyDiv w:val="1"/>
      <w:marLeft w:val="0"/>
      <w:marRight w:val="0"/>
      <w:marTop w:val="0"/>
      <w:marBottom w:val="0"/>
      <w:divBdr>
        <w:top w:val="none" w:sz="0" w:space="0" w:color="auto"/>
        <w:left w:val="none" w:sz="0" w:space="0" w:color="auto"/>
        <w:bottom w:val="none" w:sz="0" w:space="0" w:color="auto"/>
        <w:right w:val="none" w:sz="0" w:space="0" w:color="auto"/>
      </w:divBdr>
    </w:div>
    <w:div w:id="828784960">
      <w:bodyDiv w:val="1"/>
      <w:marLeft w:val="0"/>
      <w:marRight w:val="0"/>
      <w:marTop w:val="0"/>
      <w:marBottom w:val="0"/>
      <w:divBdr>
        <w:top w:val="none" w:sz="0" w:space="0" w:color="auto"/>
        <w:left w:val="none" w:sz="0" w:space="0" w:color="auto"/>
        <w:bottom w:val="none" w:sz="0" w:space="0" w:color="auto"/>
        <w:right w:val="none" w:sz="0" w:space="0" w:color="auto"/>
      </w:divBdr>
    </w:div>
    <w:div w:id="829563880">
      <w:bodyDiv w:val="1"/>
      <w:marLeft w:val="0"/>
      <w:marRight w:val="0"/>
      <w:marTop w:val="0"/>
      <w:marBottom w:val="0"/>
      <w:divBdr>
        <w:top w:val="none" w:sz="0" w:space="0" w:color="auto"/>
        <w:left w:val="none" w:sz="0" w:space="0" w:color="auto"/>
        <w:bottom w:val="none" w:sz="0" w:space="0" w:color="auto"/>
        <w:right w:val="none" w:sz="0" w:space="0" w:color="auto"/>
      </w:divBdr>
    </w:div>
    <w:div w:id="829830364">
      <w:bodyDiv w:val="1"/>
      <w:marLeft w:val="0"/>
      <w:marRight w:val="0"/>
      <w:marTop w:val="0"/>
      <w:marBottom w:val="0"/>
      <w:divBdr>
        <w:top w:val="none" w:sz="0" w:space="0" w:color="auto"/>
        <w:left w:val="none" w:sz="0" w:space="0" w:color="auto"/>
        <w:bottom w:val="none" w:sz="0" w:space="0" w:color="auto"/>
        <w:right w:val="none" w:sz="0" w:space="0" w:color="auto"/>
      </w:divBdr>
    </w:div>
    <w:div w:id="844438169">
      <w:bodyDiv w:val="1"/>
      <w:marLeft w:val="0"/>
      <w:marRight w:val="0"/>
      <w:marTop w:val="0"/>
      <w:marBottom w:val="0"/>
      <w:divBdr>
        <w:top w:val="none" w:sz="0" w:space="0" w:color="auto"/>
        <w:left w:val="none" w:sz="0" w:space="0" w:color="auto"/>
        <w:bottom w:val="none" w:sz="0" w:space="0" w:color="auto"/>
        <w:right w:val="none" w:sz="0" w:space="0" w:color="auto"/>
      </w:divBdr>
    </w:div>
    <w:div w:id="852035212">
      <w:bodyDiv w:val="1"/>
      <w:marLeft w:val="0"/>
      <w:marRight w:val="0"/>
      <w:marTop w:val="0"/>
      <w:marBottom w:val="0"/>
      <w:divBdr>
        <w:top w:val="none" w:sz="0" w:space="0" w:color="auto"/>
        <w:left w:val="none" w:sz="0" w:space="0" w:color="auto"/>
        <w:bottom w:val="none" w:sz="0" w:space="0" w:color="auto"/>
        <w:right w:val="none" w:sz="0" w:space="0" w:color="auto"/>
      </w:divBdr>
      <w:divsChild>
        <w:div w:id="1170214051">
          <w:marLeft w:val="907"/>
          <w:marRight w:val="0"/>
          <w:marTop w:val="0"/>
          <w:marBottom w:val="0"/>
          <w:divBdr>
            <w:top w:val="none" w:sz="0" w:space="0" w:color="auto"/>
            <w:left w:val="none" w:sz="0" w:space="0" w:color="auto"/>
            <w:bottom w:val="none" w:sz="0" w:space="0" w:color="auto"/>
            <w:right w:val="none" w:sz="0" w:space="0" w:color="auto"/>
          </w:divBdr>
        </w:div>
        <w:div w:id="1028262448">
          <w:marLeft w:val="907"/>
          <w:marRight w:val="0"/>
          <w:marTop w:val="0"/>
          <w:marBottom w:val="0"/>
          <w:divBdr>
            <w:top w:val="none" w:sz="0" w:space="0" w:color="auto"/>
            <w:left w:val="none" w:sz="0" w:space="0" w:color="auto"/>
            <w:bottom w:val="none" w:sz="0" w:space="0" w:color="auto"/>
            <w:right w:val="none" w:sz="0" w:space="0" w:color="auto"/>
          </w:divBdr>
        </w:div>
        <w:div w:id="1971547365">
          <w:marLeft w:val="907"/>
          <w:marRight w:val="0"/>
          <w:marTop w:val="0"/>
          <w:marBottom w:val="0"/>
          <w:divBdr>
            <w:top w:val="none" w:sz="0" w:space="0" w:color="auto"/>
            <w:left w:val="none" w:sz="0" w:space="0" w:color="auto"/>
            <w:bottom w:val="none" w:sz="0" w:space="0" w:color="auto"/>
            <w:right w:val="none" w:sz="0" w:space="0" w:color="auto"/>
          </w:divBdr>
        </w:div>
      </w:divsChild>
    </w:div>
    <w:div w:id="854223562">
      <w:bodyDiv w:val="1"/>
      <w:marLeft w:val="0"/>
      <w:marRight w:val="0"/>
      <w:marTop w:val="0"/>
      <w:marBottom w:val="0"/>
      <w:divBdr>
        <w:top w:val="none" w:sz="0" w:space="0" w:color="auto"/>
        <w:left w:val="none" w:sz="0" w:space="0" w:color="auto"/>
        <w:bottom w:val="none" w:sz="0" w:space="0" w:color="auto"/>
        <w:right w:val="none" w:sz="0" w:space="0" w:color="auto"/>
      </w:divBdr>
    </w:div>
    <w:div w:id="855581040">
      <w:bodyDiv w:val="1"/>
      <w:marLeft w:val="0"/>
      <w:marRight w:val="0"/>
      <w:marTop w:val="0"/>
      <w:marBottom w:val="0"/>
      <w:divBdr>
        <w:top w:val="none" w:sz="0" w:space="0" w:color="auto"/>
        <w:left w:val="none" w:sz="0" w:space="0" w:color="auto"/>
        <w:bottom w:val="none" w:sz="0" w:space="0" w:color="auto"/>
        <w:right w:val="none" w:sz="0" w:space="0" w:color="auto"/>
      </w:divBdr>
      <w:divsChild>
        <w:div w:id="1389763652">
          <w:marLeft w:val="907"/>
          <w:marRight w:val="0"/>
          <w:marTop w:val="0"/>
          <w:marBottom w:val="0"/>
          <w:divBdr>
            <w:top w:val="none" w:sz="0" w:space="0" w:color="auto"/>
            <w:left w:val="none" w:sz="0" w:space="0" w:color="auto"/>
            <w:bottom w:val="none" w:sz="0" w:space="0" w:color="auto"/>
            <w:right w:val="none" w:sz="0" w:space="0" w:color="auto"/>
          </w:divBdr>
        </w:div>
        <w:div w:id="2134983101">
          <w:marLeft w:val="907"/>
          <w:marRight w:val="0"/>
          <w:marTop w:val="0"/>
          <w:marBottom w:val="0"/>
          <w:divBdr>
            <w:top w:val="none" w:sz="0" w:space="0" w:color="auto"/>
            <w:left w:val="none" w:sz="0" w:space="0" w:color="auto"/>
            <w:bottom w:val="none" w:sz="0" w:space="0" w:color="auto"/>
            <w:right w:val="none" w:sz="0" w:space="0" w:color="auto"/>
          </w:divBdr>
        </w:div>
        <w:div w:id="1009096">
          <w:marLeft w:val="907"/>
          <w:marRight w:val="0"/>
          <w:marTop w:val="0"/>
          <w:marBottom w:val="0"/>
          <w:divBdr>
            <w:top w:val="none" w:sz="0" w:space="0" w:color="auto"/>
            <w:left w:val="none" w:sz="0" w:space="0" w:color="auto"/>
            <w:bottom w:val="none" w:sz="0" w:space="0" w:color="auto"/>
            <w:right w:val="none" w:sz="0" w:space="0" w:color="auto"/>
          </w:divBdr>
        </w:div>
        <w:div w:id="1407729456">
          <w:marLeft w:val="907"/>
          <w:marRight w:val="0"/>
          <w:marTop w:val="0"/>
          <w:marBottom w:val="0"/>
          <w:divBdr>
            <w:top w:val="none" w:sz="0" w:space="0" w:color="auto"/>
            <w:left w:val="none" w:sz="0" w:space="0" w:color="auto"/>
            <w:bottom w:val="none" w:sz="0" w:space="0" w:color="auto"/>
            <w:right w:val="none" w:sz="0" w:space="0" w:color="auto"/>
          </w:divBdr>
        </w:div>
        <w:div w:id="811101039">
          <w:marLeft w:val="907"/>
          <w:marRight w:val="0"/>
          <w:marTop w:val="0"/>
          <w:marBottom w:val="0"/>
          <w:divBdr>
            <w:top w:val="none" w:sz="0" w:space="0" w:color="auto"/>
            <w:left w:val="none" w:sz="0" w:space="0" w:color="auto"/>
            <w:bottom w:val="none" w:sz="0" w:space="0" w:color="auto"/>
            <w:right w:val="none" w:sz="0" w:space="0" w:color="auto"/>
          </w:divBdr>
        </w:div>
      </w:divsChild>
    </w:div>
    <w:div w:id="858587681">
      <w:bodyDiv w:val="1"/>
      <w:marLeft w:val="0"/>
      <w:marRight w:val="0"/>
      <w:marTop w:val="0"/>
      <w:marBottom w:val="0"/>
      <w:divBdr>
        <w:top w:val="none" w:sz="0" w:space="0" w:color="auto"/>
        <w:left w:val="none" w:sz="0" w:space="0" w:color="auto"/>
        <w:bottom w:val="none" w:sz="0" w:space="0" w:color="auto"/>
        <w:right w:val="none" w:sz="0" w:space="0" w:color="auto"/>
      </w:divBdr>
    </w:div>
    <w:div w:id="869412970">
      <w:bodyDiv w:val="1"/>
      <w:marLeft w:val="0"/>
      <w:marRight w:val="0"/>
      <w:marTop w:val="0"/>
      <w:marBottom w:val="0"/>
      <w:divBdr>
        <w:top w:val="none" w:sz="0" w:space="0" w:color="auto"/>
        <w:left w:val="none" w:sz="0" w:space="0" w:color="auto"/>
        <w:bottom w:val="none" w:sz="0" w:space="0" w:color="auto"/>
        <w:right w:val="none" w:sz="0" w:space="0" w:color="auto"/>
      </w:divBdr>
    </w:div>
    <w:div w:id="869798199">
      <w:bodyDiv w:val="1"/>
      <w:marLeft w:val="0"/>
      <w:marRight w:val="0"/>
      <w:marTop w:val="0"/>
      <w:marBottom w:val="0"/>
      <w:divBdr>
        <w:top w:val="none" w:sz="0" w:space="0" w:color="auto"/>
        <w:left w:val="none" w:sz="0" w:space="0" w:color="auto"/>
        <w:bottom w:val="none" w:sz="0" w:space="0" w:color="auto"/>
        <w:right w:val="none" w:sz="0" w:space="0" w:color="auto"/>
      </w:divBdr>
    </w:div>
    <w:div w:id="894245512">
      <w:bodyDiv w:val="1"/>
      <w:marLeft w:val="0"/>
      <w:marRight w:val="0"/>
      <w:marTop w:val="0"/>
      <w:marBottom w:val="0"/>
      <w:divBdr>
        <w:top w:val="none" w:sz="0" w:space="0" w:color="auto"/>
        <w:left w:val="none" w:sz="0" w:space="0" w:color="auto"/>
        <w:bottom w:val="none" w:sz="0" w:space="0" w:color="auto"/>
        <w:right w:val="none" w:sz="0" w:space="0" w:color="auto"/>
      </w:divBdr>
    </w:div>
    <w:div w:id="896361896">
      <w:bodyDiv w:val="1"/>
      <w:marLeft w:val="0"/>
      <w:marRight w:val="0"/>
      <w:marTop w:val="0"/>
      <w:marBottom w:val="0"/>
      <w:divBdr>
        <w:top w:val="none" w:sz="0" w:space="0" w:color="auto"/>
        <w:left w:val="none" w:sz="0" w:space="0" w:color="auto"/>
        <w:bottom w:val="none" w:sz="0" w:space="0" w:color="auto"/>
        <w:right w:val="none" w:sz="0" w:space="0" w:color="auto"/>
      </w:divBdr>
    </w:div>
    <w:div w:id="911507332">
      <w:bodyDiv w:val="1"/>
      <w:marLeft w:val="0"/>
      <w:marRight w:val="0"/>
      <w:marTop w:val="0"/>
      <w:marBottom w:val="0"/>
      <w:divBdr>
        <w:top w:val="none" w:sz="0" w:space="0" w:color="auto"/>
        <w:left w:val="none" w:sz="0" w:space="0" w:color="auto"/>
        <w:bottom w:val="none" w:sz="0" w:space="0" w:color="auto"/>
        <w:right w:val="none" w:sz="0" w:space="0" w:color="auto"/>
      </w:divBdr>
    </w:div>
    <w:div w:id="938869955">
      <w:bodyDiv w:val="1"/>
      <w:marLeft w:val="0"/>
      <w:marRight w:val="0"/>
      <w:marTop w:val="0"/>
      <w:marBottom w:val="0"/>
      <w:divBdr>
        <w:top w:val="none" w:sz="0" w:space="0" w:color="auto"/>
        <w:left w:val="none" w:sz="0" w:space="0" w:color="auto"/>
        <w:bottom w:val="none" w:sz="0" w:space="0" w:color="auto"/>
        <w:right w:val="none" w:sz="0" w:space="0" w:color="auto"/>
      </w:divBdr>
    </w:div>
    <w:div w:id="953899232">
      <w:bodyDiv w:val="1"/>
      <w:marLeft w:val="0"/>
      <w:marRight w:val="0"/>
      <w:marTop w:val="0"/>
      <w:marBottom w:val="0"/>
      <w:divBdr>
        <w:top w:val="none" w:sz="0" w:space="0" w:color="auto"/>
        <w:left w:val="none" w:sz="0" w:space="0" w:color="auto"/>
        <w:bottom w:val="none" w:sz="0" w:space="0" w:color="auto"/>
        <w:right w:val="none" w:sz="0" w:space="0" w:color="auto"/>
      </w:divBdr>
    </w:div>
    <w:div w:id="970131846">
      <w:bodyDiv w:val="1"/>
      <w:marLeft w:val="0"/>
      <w:marRight w:val="0"/>
      <w:marTop w:val="0"/>
      <w:marBottom w:val="0"/>
      <w:divBdr>
        <w:top w:val="none" w:sz="0" w:space="0" w:color="auto"/>
        <w:left w:val="none" w:sz="0" w:space="0" w:color="auto"/>
        <w:bottom w:val="none" w:sz="0" w:space="0" w:color="auto"/>
        <w:right w:val="none" w:sz="0" w:space="0" w:color="auto"/>
      </w:divBdr>
    </w:div>
    <w:div w:id="970863335">
      <w:bodyDiv w:val="1"/>
      <w:marLeft w:val="0"/>
      <w:marRight w:val="0"/>
      <w:marTop w:val="0"/>
      <w:marBottom w:val="0"/>
      <w:divBdr>
        <w:top w:val="none" w:sz="0" w:space="0" w:color="auto"/>
        <w:left w:val="none" w:sz="0" w:space="0" w:color="auto"/>
        <w:bottom w:val="none" w:sz="0" w:space="0" w:color="auto"/>
        <w:right w:val="none" w:sz="0" w:space="0" w:color="auto"/>
      </w:divBdr>
    </w:div>
    <w:div w:id="988245587">
      <w:bodyDiv w:val="1"/>
      <w:marLeft w:val="0"/>
      <w:marRight w:val="0"/>
      <w:marTop w:val="0"/>
      <w:marBottom w:val="0"/>
      <w:divBdr>
        <w:top w:val="none" w:sz="0" w:space="0" w:color="auto"/>
        <w:left w:val="none" w:sz="0" w:space="0" w:color="auto"/>
        <w:bottom w:val="none" w:sz="0" w:space="0" w:color="auto"/>
        <w:right w:val="none" w:sz="0" w:space="0" w:color="auto"/>
      </w:divBdr>
    </w:div>
    <w:div w:id="1002197650">
      <w:bodyDiv w:val="1"/>
      <w:marLeft w:val="0"/>
      <w:marRight w:val="0"/>
      <w:marTop w:val="0"/>
      <w:marBottom w:val="0"/>
      <w:divBdr>
        <w:top w:val="none" w:sz="0" w:space="0" w:color="auto"/>
        <w:left w:val="none" w:sz="0" w:space="0" w:color="auto"/>
        <w:bottom w:val="none" w:sz="0" w:space="0" w:color="auto"/>
        <w:right w:val="none" w:sz="0" w:space="0" w:color="auto"/>
      </w:divBdr>
    </w:div>
    <w:div w:id="1005667555">
      <w:bodyDiv w:val="1"/>
      <w:marLeft w:val="0"/>
      <w:marRight w:val="0"/>
      <w:marTop w:val="0"/>
      <w:marBottom w:val="0"/>
      <w:divBdr>
        <w:top w:val="none" w:sz="0" w:space="0" w:color="auto"/>
        <w:left w:val="none" w:sz="0" w:space="0" w:color="auto"/>
        <w:bottom w:val="none" w:sz="0" w:space="0" w:color="auto"/>
        <w:right w:val="none" w:sz="0" w:space="0" w:color="auto"/>
      </w:divBdr>
    </w:div>
    <w:div w:id="1017730033">
      <w:bodyDiv w:val="1"/>
      <w:marLeft w:val="0"/>
      <w:marRight w:val="0"/>
      <w:marTop w:val="0"/>
      <w:marBottom w:val="0"/>
      <w:divBdr>
        <w:top w:val="none" w:sz="0" w:space="0" w:color="auto"/>
        <w:left w:val="none" w:sz="0" w:space="0" w:color="auto"/>
        <w:bottom w:val="none" w:sz="0" w:space="0" w:color="auto"/>
        <w:right w:val="none" w:sz="0" w:space="0" w:color="auto"/>
      </w:divBdr>
    </w:div>
    <w:div w:id="1022046524">
      <w:bodyDiv w:val="1"/>
      <w:marLeft w:val="0"/>
      <w:marRight w:val="0"/>
      <w:marTop w:val="0"/>
      <w:marBottom w:val="0"/>
      <w:divBdr>
        <w:top w:val="none" w:sz="0" w:space="0" w:color="auto"/>
        <w:left w:val="none" w:sz="0" w:space="0" w:color="auto"/>
        <w:bottom w:val="none" w:sz="0" w:space="0" w:color="auto"/>
        <w:right w:val="none" w:sz="0" w:space="0" w:color="auto"/>
      </w:divBdr>
      <w:divsChild>
        <w:div w:id="468133812">
          <w:marLeft w:val="0"/>
          <w:marRight w:val="0"/>
          <w:marTop w:val="0"/>
          <w:marBottom w:val="0"/>
          <w:divBdr>
            <w:top w:val="none" w:sz="0" w:space="0" w:color="auto"/>
            <w:left w:val="none" w:sz="0" w:space="0" w:color="auto"/>
            <w:bottom w:val="none" w:sz="0" w:space="0" w:color="auto"/>
            <w:right w:val="none" w:sz="0" w:space="0" w:color="auto"/>
          </w:divBdr>
          <w:divsChild>
            <w:div w:id="1041133673">
              <w:marLeft w:val="0"/>
              <w:marRight w:val="0"/>
              <w:marTop w:val="0"/>
              <w:marBottom w:val="0"/>
              <w:divBdr>
                <w:top w:val="none" w:sz="0" w:space="0" w:color="auto"/>
                <w:left w:val="none" w:sz="0" w:space="0" w:color="auto"/>
                <w:bottom w:val="none" w:sz="0" w:space="0" w:color="auto"/>
                <w:right w:val="none" w:sz="0" w:space="0" w:color="auto"/>
              </w:divBdr>
              <w:divsChild>
                <w:div w:id="239945838">
                  <w:marLeft w:val="0"/>
                  <w:marRight w:val="0"/>
                  <w:marTop w:val="0"/>
                  <w:marBottom w:val="0"/>
                  <w:divBdr>
                    <w:top w:val="none" w:sz="0" w:space="0" w:color="auto"/>
                    <w:left w:val="none" w:sz="0" w:space="0" w:color="auto"/>
                    <w:bottom w:val="none" w:sz="0" w:space="0" w:color="auto"/>
                    <w:right w:val="none" w:sz="0" w:space="0" w:color="auto"/>
                  </w:divBdr>
                  <w:divsChild>
                    <w:div w:id="1010984861">
                      <w:marLeft w:val="0"/>
                      <w:marRight w:val="0"/>
                      <w:marTop w:val="0"/>
                      <w:marBottom w:val="0"/>
                      <w:divBdr>
                        <w:top w:val="none" w:sz="0" w:space="0" w:color="auto"/>
                        <w:left w:val="none" w:sz="0" w:space="0" w:color="auto"/>
                        <w:bottom w:val="none" w:sz="0" w:space="0" w:color="auto"/>
                        <w:right w:val="none" w:sz="0" w:space="0" w:color="auto"/>
                      </w:divBdr>
                      <w:divsChild>
                        <w:div w:id="1014309959">
                          <w:marLeft w:val="0"/>
                          <w:marRight w:val="0"/>
                          <w:marTop w:val="0"/>
                          <w:marBottom w:val="0"/>
                          <w:divBdr>
                            <w:top w:val="none" w:sz="0" w:space="0" w:color="auto"/>
                            <w:left w:val="none" w:sz="0" w:space="0" w:color="auto"/>
                            <w:bottom w:val="none" w:sz="0" w:space="0" w:color="auto"/>
                            <w:right w:val="none" w:sz="0" w:space="0" w:color="auto"/>
                          </w:divBdr>
                          <w:divsChild>
                            <w:div w:id="1748305245">
                              <w:marLeft w:val="0"/>
                              <w:marRight w:val="0"/>
                              <w:marTop w:val="0"/>
                              <w:marBottom w:val="0"/>
                              <w:divBdr>
                                <w:top w:val="none" w:sz="0" w:space="0" w:color="auto"/>
                                <w:left w:val="none" w:sz="0" w:space="0" w:color="auto"/>
                                <w:bottom w:val="none" w:sz="0" w:space="0" w:color="auto"/>
                                <w:right w:val="none" w:sz="0" w:space="0" w:color="auto"/>
                              </w:divBdr>
                              <w:divsChild>
                                <w:div w:id="2127583194">
                                  <w:marLeft w:val="0"/>
                                  <w:marRight w:val="0"/>
                                  <w:marTop w:val="0"/>
                                  <w:marBottom w:val="0"/>
                                  <w:divBdr>
                                    <w:top w:val="none" w:sz="0" w:space="0" w:color="auto"/>
                                    <w:left w:val="none" w:sz="0" w:space="0" w:color="auto"/>
                                    <w:bottom w:val="none" w:sz="0" w:space="0" w:color="auto"/>
                                    <w:right w:val="none" w:sz="0" w:space="0" w:color="auto"/>
                                  </w:divBdr>
                                  <w:divsChild>
                                    <w:div w:id="1737976486">
                                      <w:marLeft w:val="0"/>
                                      <w:marRight w:val="0"/>
                                      <w:marTop w:val="0"/>
                                      <w:marBottom w:val="0"/>
                                      <w:divBdr>
                                        <w:top w:val="none" w:sz="0" w:space="0" w:color="auto"/>
                                        <w:left w:val="none" w:sz="0" w:space="0" w:color="auto"/>
                                        <w:bottom w:val="none" w:sz="0" w:space="0" w:color="auto"/>
                                        <w:right w:val="none" w:sz="0" w:space="0" w:color="auto"/>
                                      </w:divBdr>
                                      <w:divsChild>
                                        <w:div w:id="1514685584">
                                          <w:marLeft w:val="0"/>
                                          <w:marRight w:val="0"/>
                                          <w:marTop w:val="0"/>
                                          <w:marBottom w:val="0"/>
                                          <w:divBdr>
                                            <w:top w:val="none" w:sz="0" w:space="0" w:color="auto"/>
                                            <w:left w:val="none" w:sz="0" w:space="0" w:color="auto"/>
                                            <w:bottom w:val="none" w:sz="0" w:space="0" w:color="auto"/>
                                            <w:right w:val="none" w:sz="0" w:space="0" w:color="auto"/>
                                          </w:divBdr>
                                          <w:divsChild>
                                            <w:div w:id="300236049">
                                              <w:marLeft w:val="0"/>
                                              <w:marRight w:val="0"/>
                                              <w:marTop w:val="0"/>
                                              <w:marBottom w:val="0"/>
                                              <w:divBdr>
                                                <w:top w:val="none" w:sz="0" w:space="0" w:color="auto"/>
                                                <w:left w:val="none" w:sz="0" w:space="0" w:color="auto"/>
                                                <w:bottom w:val="none" w:sz="0" w:space="0" w:color="auto"/>
                                                <w:right w:val="none" w:sz="0" w:space="0" w:color="auto"/>
                                              </w:divBdr>
                                              <w:divsChild>
                                                <w:div w:id="2018582280">
                                                  <w:marLeft w:val="0"/>
                                                  <w:marRight w:val="0"/>
                                                  <w:marTop w:val="0"/>
                                                  <w:marBottom w:val="0"/>
                                                  <w:divBdr>
                                                    <w:top w:val="none" w:sz="0" w:space="0" w:color="auto"/>
                                                    <w:left w:val="none" w:sz="0" w:space="0" w:color="auto"/>
                                                    <w:bottom w:val="none" w:sz="0" w:space="0" w:color="auto"/>
                                                    <w:right w:val="none" w:sz="0" w:space="0" w:color="auto"/>
                                                  </w:divBdr>
                                                  <w:divsChild>
                                                    <w:div w:id="845831318">
                                                      <w:marLeft w:val="0"/>
                                                      <w:marRight w:val="0"/>
                                                      <w:marTop w:val="0"/>
                                                      <w:marBottom w:val="0"/>
                                                      <w:divBdr>
                                                        <w:top w:val="none" w:sz="0" w:space="0" w:color="auto"/>
                                                        <w:left w:val="none" w:sz="0" w:space="0" w:color="auto"/>
                                                        <w:bottom w:val="none" w:sz="0" w:space="0" w:color="auto"/>
                                                        <w:right w:val="none" w:sz="0" w:space="0" w:color="auto"/>
                                                      </w:divBdr>
                                                      <w:divsChild>
                                                        <w:div w:id="49704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0010313">
      <w:bodyDiv w:val="1"/>
      <w:marLeft w:val="0"/>
      <w:marRight w:val="0"/>
      <w:marTop w:val="0"/>
      <w:marBottom w:val="0"/>
      <w:divBdr>
        <w:top w:val="none" w:sz="0" w:space="0" w:color="auto"/>
        <w:left w:val="none" w:sz="0" w:space="0" w:color="auto"/>
        <w:bottom w:val="none" w:sz="0" w:space="0" w:color="auto"/>
        <w:right w:val="none" w:sz="0" w:space="0" w:color="auto"/>
      </w:divBdr>
    </w:div>
    <w:div w:id="1047953343">
      <w:bodyDiv w:val="1"/>
      <w:marLeft w:val="0"/>
      <w:marRight w:val="0"/>
      <w:marTop w:val="0"/>
      <w:marBottom w:val="0"/>
      <w:divBdr>
        <w:top w:val="none" w:sz="0" w:space="0" w:color="auto"/>
        <w:left w:val="none" w:sz="0" w:space="0" w:color="auto"/>
        <w:bottom w:val="none" w:sz="0" w:space="0" w:color="auto"/>
        <w:right w:val="none" w:sz="0" w:space="0" w:color="auto"/>
      </w:divBdr>
      <w:divsChild>
        <w:div w:id="1003822585">
          <w:marLeft w:val="907"/>
          <w:marRight w:val="0"/>
          <w:marTop w:val="0"/>
          <w:marBottom w:val="0"/>
          <w:divBdr>
            <w:top w:val="none" w:sz="0" w:space="0" w:color="auto"/>
            <w:left w:val="none" w:sz="0" w:space="0" w:color="auto"/>
            <w:bottom w:val="none" w:sz="0" w:space="0" w:color="auto"/>
            <w:right w:val="none" w:sz="0" w:space="0" w:color="auto"/>
          </w:divBdr>
        </w:div>
        <w:div w:id="2126386480">
          <w:marLeft w:val="907"/>
          <w:marRight w:val="0"/>
          <w:marTop w:val="0"/>
          <w:marBottom w:val="0"/>
          <w:divBdr>
            <w:top w:val="none" w:sz="0" w:space="0" w:color="auto"/>
            <w:left w:val="none" w:sz="0" w:space="0" w:color="auto"/>
            <w:bottom w:val="none" w:sz="0" w:space="0" w:color="auto"/>
            <w:right w:val="none" w:sz="0" w:space="0" w:color="auto"/>
          </w:divBdr>
        </w:div>
        <w:div w:id="1404332976">
          <w:marLeft w:val="907"/>
          <w:marRight w:val="0"/>
          <w:marTop w:val="0"/>
          <w:marBottom w:val="0"/>
          <w:divBdr>
            <w:top w:val="none" w:sz="0" w:space="0" w:color="auto"/>
            <w:left w:val="none" w:sz="0" w:space="0" w:color="auto"/>
            <w:bottom w:val="none" w:sz="0" w:space="0" w:color="auto"/>
            <w:right w:val="none" w:sz="0" w:space="0" w:color="auto"/>
          </w:divBdr>
        </w:div>
        <w:div w:id="1781099412">
          <w:marLeft w:val="907"/>
          <w:marRight w:val="0"/>
          <w:marTop w:val="0"/>
          <w:marBottom w:val="0"/>
          <w:divBdr>
            <w:top w:val="none" w:sz="0" w:space="0" w:color="auto"/>
            <w:left w:val="none" w:sz="0" w:space="0" w:color="auto"/>
            <w:bottom w:val="none" w:sz="0" w:space="0" w:color="auto"/>
            <w:right w:val="none" w:sz="0" w:space="0" w:color="auto"/>
          </w:divBdr>
        </w:div>
        <w:div w:id="511526622">
          <w:marLeft w:val="907"/>
          <w:marRight w:val="0"/>
          <w:marTop w:val="0"/>
          <w:marBottom w:val="0"/>
          <w:divBdr>
            <w:top w:val="none" w:sz="0" w:space="0" w:color="auto"/>
            <w:left w:val="none" w:sz="0" w:space="0" w:color="auto"/>
            <w:bottom w:val="none" w:sz="0" w:space="0" w:color="auto"/>
            <w:right w:val="none" w:sz="0" w:space="0" w:color="auto"/>
          </w:divBdr>
        </w:div>
      </w:divsChild>
    </w:div>
    <w:div w:id="1048188558">
      <w:bodyDiv w:val="1"/>
      <w:marLeft w:val="0"/>
      <w:marRight w:val="0"/>
      <w:marTop w:val="0"/>
      <w:marBottom w:val="0"/>
      <w:divBdr>
        <w:top w:val="none" w:sz="0" w:space="0" w:color="auto"/>
        <w:left w:val="none" w:sz="0" w:space="0" w:color="auto"/>
        <w:bottom w:val="none" w:sz="0" w:space="0" w:color="auto"/>
        <w:right w:val="none" w:sz="0" w:space="0" w:color="auto"/>
      </w:divBdr>
      <w:divsChild>
        <w:div w:id="28382729">
          <w:marLeft w:val="1080"/>
          <w:marRight w:val="0"/>
          <w:marTop w:val="0"/>
          <w:marBottom w:val="0"/>
          <w:divBdr>
            <w:top w:val="none" w:sz="0" w:space="0" w:color="auto"/>
            <w:left w:val="none" w:sz="0" w:space="0" w:color="auto"/>
            <w:bottom w:val="none" w:sz="0" w:space="0" w:color="auto"/>
            <w:right w:val="none" w:sz="0" w:space="0" w:color="auto"/>
          </w:divBdr>
        </w:div>
        <w:div w:id="702705620">
          <w:marLeft w:val="1080"/>
          <w:marRight w:val="0"/>
          <w:marTop w:val="0"/>
          <w:marBottom w:val="0"/>
          <w:divBdr>
            <w:top w:val="none" w:sz="0" w:space="0" w:color="auto"/>
            <w:left w:val="none" w:sz="0" w:space="0" w:color="auto"/>
            <w:bottom w:val="none" w:sz="0" w:space="0" w:color="auto"/>
            <w:right w:val="none" w:sz="0" w:space="0" w:color="auto"/>
          </w:divBdr>
        </w:div>
        <w:div w:id="342905463">
          <w:marLeft w:val="1080"/>
          <w:marRight w:val="0"/>
          <w:marTop w:val="0"/>
          <w:marBottom w:val="0"/>
          <w:divBdr>
            <w:top w:val="none" w:sz="0" w:space="0" w:color="auto"/>
            <w:left w:val="none" w:sz="0" w:space="0" w:color="auto"/>
            <w:bottom w:val="none" w:sz="0" w:space="0" w:color="auto"/>
            <w:right w:val="none" w:sz="0" w:space="0" w:color="auto"/>
          </w:divBdr>
        </w:div>
        <w:div w:id="1604999623">
          <w:marLeft w:val="1080"/>
          <w:marRight w:val="0"/>
          <w:marTop w:val="0"/>
          <w:marBottom w:val="0"/>
          <w:divBdr>
            <w:top w:val="none" w:sz="0" w:space="0" w:color="auto"/>
            <w:left w:val="none" w:sz="0" w:space="0" w:color="auto"/>
            <w:bottom w:val="none" w:sz="0" w:space="0" w:color="auto"/>
            <w:right w:val="none" w:sz="0" w:space="0" w:color="auto"/>
          </w:divBdr>
        </w:div>
      </w:divsChild>
    </w:div>
    <w:div w:id="1076172707">
      <w:bodyDiv w:val="1"/>
      <w:marLeft w:val="0"/>
      <w:marRight w:val="0"/>
      <w:marTop w:val="0"/>
      <w:marBottom w:val="0"/>
      <w:divBdr>
        <w:top w:val="none" w:sz="0" w:space="0" w:color="auto"/>
        <w:left w:val="none" w:sz="0" w:space="0" w:color="auto"/>
        <w:bottom w:val="none" w:sz="0" w:space="0" w:color="auto"/>
        <w:right w:val="none" w:sz="0" w:space="0" w:color="auto"/>
      </w:divBdr>
    </w:div>
    <w:div w:id="1093429370">
      <w:bodyDiv w:val="1"/>
      <w:marLeft w:val="0"/>
      <w:marRight w:val="0"/>
      <w:marTop w:val="0"/>
      <w:marBottom w:val="0"/>
      <w:divBdr>
        <w:top w:val="none" w:sz="0" w:space="0" w:color="auto"/>
        <w:left w:val="none" w:sz="0" w:space="0" w:color="auto"/>
        <w:bottom w:val="none" w:sz="0" w:space="0" w:color="auto"/>
        <w:right w:val="none" w:sz="0" w:space="0" w:color="auto"/>
      </w:divBdr>
    </w:div>
    <w:div w:id="1103653464">
      <w:bodyDiv w:val="1"/>
      <w:marLeft w:val="0"/>
      <w:marRight w:val="0"/>
      <w:marTop w:val="0"/>
      <w:marBottom w:val="0"/>
      <w:divBdr>
        <w:top w:val="none" w:sz="0" w:space="0" w:color="auto"/>
        <w:left w:val="none" w:sz="0" w:space="0" w:color="auto"/>
        <w:bottom w:val="none" w:sz="0" w:space="0" w:color="auto"/>
        <w:right w:val="none" w:sz="0" w:space="0" w:color="auto"/>
      </w:divBdr>
    </w:div>
    <w:div w:id="1111239415">
      <w:bodyDiv w:val="1"/>
      <w:marLeft w:val="0"/>
      <w:marRight w:val="0"/>
      <w:marTop w:val="0"/>
      <w:marBottom w:val="0"/>
      <w:divBdr>
        <w:top w:val="none" w:sz="0" w:space="0" w:color="auto"/>
        <w:left w:val="none" w:sz="0" w:space="0" w:color="auto"/>
        <w:bottom w:val="none" w:sz="0" w:space="0" w:color="auto"/>
        <w:right w:val="none" w:sz="0" w:space="0" w:color="auto"/>
      </w:divBdr>
    </w:div>
    <w:div w:id="1123578170">
      <w:bodyDiv w:val="1"/>
      <w:marLeft w:val="0"/>
      <w:marRight w:val="0"/>
      <w:marTop w:val="0"/>
      <w:marBottom w:val="0"/>
      <w:divBdr>
        <w:top w:val="none" w:sz="0" w:space="0" w:color="auto"/>
        <w:left w:val="none" w:sz="0" w:space="0" w:color="auto"/>
        <w:bottom w:val="none" w:sz="0" w:space="0" w:color="auto"/>
        <w:right w:val="none" w:sz="0" w:space="0" w:color="auto"/>
      </w:divBdr>
    </w:div>
    <w:div w:id="1150756622">
      <w:bodyDiv w:val="1"/>
      <w:marLeft w:val="0"/>
      <w:marRight w:val="0"/>
      <w:marTop w:val="0"/>
      <w:marBottom w:val="0"/>
      <w:divBdr>
        <w:top w:val="none" w:sz="0" w:space="0" w:color="auto"/>
        <w:left w:val="none" w:sz="0" w:space="0" w:color="auto"/>
        <w:bottom w:val="none" w:sz="0" w:space="0" w:color="auto"/>
        <w:right w:val="none" w:sz="0" w:space="0" w:color="auto"/>
      </w:divBdr>
    </w:div>
    <w:div w:id="1164011749">
      <w:bodyDiv w:val="1"/>
      <w:marLeft w:val="0"/>
      <w:marRight w:val="0"/>
      <w:marTop w:val="0"/>
      <w:marBottom w:val="0"/>
      <w:divBdr>
        <w:top w:val="none" w:sz="0" w:space="0" w:color="auto"/>
        <w:left w:val="none" w:sz="0" w:space="0" w:color="auto"/>
        <w:bottom w:val="none" w:sz="0" w:space="0" w:color="auto"/>
        <w:right w:val="none" w:sz="0" w:space="0" w:color="auto"/>
      </w:divBdr>
      <w:divsChild>
        <w:div w:id="1586498089">
          <w:marLeft w:val="0"/>
          <w:marRight w:val="0"/>
          <w:marTop w:val="150"/>
          <w:marBottom w:val="150"/>
          <w:divBdr>
            <w:top w:val="none" w:sz="0" w:space="0" w:color="auto"/>
            <w:left w:val="none" w:sz="0" w:space="0" w:color="auto"/>
            <w:bottom w:val="none" w:sz="0" w:space="0" w:color="auto"/>
            <w:right w:val="none" w:sz="0" w:space="0" w:color="auto"/>
          </w:divBdr>
        </w:div>
      </w:divsChild>
    </w:div>
    <w:div w:id="1177816503">
      <w:bodyDiv w:val="1"/>
      <w:marLeft w:val="0"/>
      <w:marRight w:val="0"/>
      <w:marTop w:val="0"/>
      <w:marBottom w:val="0"/>
      <w:divBdr>
        <w:top w:val="none" w:sz="0" w:space="0" w:color="auto"/>
        <w:left w:val="none" w:sz="0" w:space="0" w:color="auto"/>
        <w:bottom w:val="none" w:sz="0" w:space="0" w:color="auto"/>
        <w:right w:val="none" w:sz="0" w:space="0" w:color="auto"/>
      </w:divBdr>
    </w:div>
    <w:div w:id="1191528685">
      <w:bodyDiv w:val="1"/>
      <w:marLeft w:val="0"/>
      <w:marRight w:val="0"/>
      <w:marTop w:val="0"/>
      <w:marBottom w:val="0"/>
      <w:divBdr>
        <w:top w:val="none" w:sz="0" w:space="0" w:color="auto"/>
        <w:left w:val="none" w:sz="0" w:space="0" w:color="auto"/>
        <w:bottom w:val="none" w:sz="0" w:space="0" w:color="auto"/>
        <w:right w:val="none" w:sz="0" w:space="0" w:color="auto"/>
      </w:divBdr>
    </w:div>
    <w:div w:id="1201747960">
      <w:bodyDiv w:val="1"/>
      <w:marLeft w:val="0"/>
      <w:marRight w:val="0"/>
      <w:marTop w:val="0"/>
      <w:marBottom w:val="0"/>
      <w:divBdr>
        <w:top w:val="none" w:sz="0" w:space="0" w:color="auto"/>
        <w:left w:val="none" w:sz="0" w:space="0" w:color="auto"/>
        <w:bottom w:val="none" w:sz="0" w:space="0" w:color="auto"/>
        <w:right w:val="none" w:sz="0" w:space="0" w:color="auto"/>
      </w:divBdr>
      <w:divsChild>
        <w:div w:id="1065373568">
          <w:marLeft w:val="907"/>
          <w:marRight w:val="0"/>
          <w:marTop w:val="0"/>
          <w:marBottom w:val="0"/>
          <w:divBdr>
            <w:top w:val="none" w:sz="0" w:space="0" w:color="auto"/>
            <w:left w:val="none" w:sz="0" w:space="0" w:color="auto"/>
            <w:bottom w:val="none" w:sz="0" w:space="0" w:color="auto"/>
            <w:right w:val="none" w:sz="0" w:space="0" w:color="auto"/>
          </w:divBdr>
        </w:div>
        <w:div w:id="1411655718">
          <w:marLeft w:val="907"/>
          <w:marRight w:val="0"/>
          <w:marTop w:val="0"/>
          <w:marBottom w:val="0"/>
          <w:divBdr>
            <w:top w:val="none" w:sz="0" w:space="0" w:color="auto"/>
            <w:left w:val="none" w:sz="0" w:space="0" w:color="auto"/>
            <w:bottom w:val="none" w:sz="0" w:space="0" w:color="auto"/>
            <w:right w:val="none" w:sz="0" w:space="0" w:color="auto"/>
          </w:divBdr>
        </w:div>
        <w:div w:id="2048870208">
          <w:marLeft w:val="907"/>
          <w:marRight w:val="0"/>
          <w:marTop w:val="0"/>
          <w:marBottom w:val="0"/>
          <w:divBdr>
            <w:top w:val="none" w:sz="0" w:space="0" w:color="auto"/>
            <w:left w:val="none" w:sz="0" w:space="0" w:color="auto"/>
            <w:bottom w:val="none" w:sz="0" w:space="0" w:color="auto"/>
            <w:right w:val="none" w:sz="0" w:space="0" w:color="auto"/>
          </w:divBdr>
        </w:div>
        <w:div w:id="1405488973">
          <w:marLeft w:val="907"/>
          <w:marRight w:val="0"/>
          <w:marTop w:val="0"/>
          <w:marBottom w:val="0"/>
          <w:divBdr>
            <w:top w:val="none" w:sz="0" w:space="0" w:color="auto"/>
            <w:left w:val="none" w:sz="0" w:space="0" w:color="auto"/>
            <w:bottom w:val="none" w:sz="0" w:space="0" w:color="auto"/>
            <w:right w:val="none" w:sz="0" w:space="0" w:color="auto"/>
          </w:divBdr>
        </w:div>
        <w:div w:id="1919434368">
          <w:marLeft w:val="907"/>
          <w:marRight w:val="0"/>
          <w:marTop w:val="0"/>
          <w:marBottom w:val="0"/>
          <w:divBdr>
            <w:top w:val="none" w:sz="0" w:space="0" w:color="auto"/>
            <w:left w:val="none" w:sz="0" w:space="0" w:color="auto"/>
            <w:bottom w:val="none" w:sz="0" w:space="0" w:color="auto"/>
            <w:right w:val="none" w:sz="0" w:space="0" w:color="auto"/>
          </w:divBdr>
        </w:div>
        <w:div w:id="1089699177">
          <w:marLeft w:val="907"/>
          <w:marRight w:val="0"/>
          <w:marTop w:val="0"/>
          <w:marBottom w:val="0"/>
          <w:divBdr>
            <w:top w:val="none" w:sz="0" w:space="0" w:color="auto"/>
            <w:left w:val="none" w:sz="0" w:space="0" w:color="auto"/>
            <w:bottom w:val="none" w:sz="0" w:space="0" w:color="auto"/>
            <w:right w:val="none" w:sz="0" w:space="0" w:color="auto"/>
          </w:divBdr>
        </w:div>
      </w:divsChild>
    </w:div>
    <w:div w:id="1211071782">
      <w:bodyDiv w:val="1"/>
      <w:marLeft w:val="0"/>
      <w:marRight w:val="0"/>
      <w:marTop w:val="0"/>
      <w:marBottom w:val="0"/>
      <w:divBdr>
        <w:top w:val="none" w:sz="0" w:space="0" w:color="auto"/>
        <w:left w:val="none" w:sz="0" w:space="0" w:color="auto"/>
        <w:bottom w:val="none" w:sz="0" w:space="0" w:color="auto"/>
        <w:right w:val="none" w:sz="0" w:space="0" w:color="auto"/>
      </w:divBdr>
    </w:div>
    <w:div w:id="1220047071">
      <w:bodyDiv w:val="1"/>
      <w:marLeft w:val="0"/>
      <w:marRight w:val="0"/>
      <w:marTop w:val="0"/>
      <w:marBottom w:val="0"/>
      <w:divBdr>
        <w:top w:val="none" w:sz="0" w:space="0" w:color="auto"/>
        <w:left w:val="none" w:sz="0" w:space="0" w:color="auto"/>
        <w:bottom w:val="none" w:sz="0" w:space="0" w:color="auto"/>
        <w:right w:val="none" w:sz="0" w:space="0" w:color="auto"/>
      </w:divBdr>
    </w:div>
    <w:div w:id="1236208650">
      <w:bodyDiv w:val="1"/>
      <w:marLeft w:val="0"/>
      <w:marRight w:val="0"/>
      <w:marTop w:val="0"/>
      <w:marBottom w:val="0"/>
      <w:divBdr>
        <w:top w:val="none" w:sz="0" w:space="0" w:color="auto"/>
        <w:left w:val="none" w:sz="0" w:space="0" w:color="auto"/>
        <w:bottom w:val="none" w:sz="0" w:space="0" w:color="auto"/>
        <w:right w:val="none" w:sz="0" w:space="0" w:color="auto"/>
      </w:divBdr>
    </w:div>
    <w:div w:id="1240212456">
      <w:bodyDiv w:val="1"/>
      <w:marLeft w:val="0"/>
      <w:marRight w:val="0"/>
      <w:marTop w:val="0"/>
      <w:marBottom w:val="0"/>
      <w:divBdr>
        <w:top w:val="none" w:sz="0" w:space="0" w:color="auto"/>
        <w:left w:val="none" w:sz="0" w:space="0" w:color="auto"/>
        <w:bottom w:val="none" w:sz="0" w:space="0" w:color="auto"/>
        <w:right w:val="none" w:sz="0" w:space="0" w:color="auto"/>
      </w:divBdr>
    </w:div>
    <w:div w:id="1267811516">
      <w:bodyDiv w:val="1"/>
      <w:marLeft w:val="0"/>
      <w:marRight w:val="0"/>
      <w:marTop w:val="0"/>
      <w:marBottom w:val="0"/>
      <w:divBdr>
        <w:top w:val="none" w:sz="0" w:space="0" w:color="auto"/>
        <w:left w:val="none" w:sz="0" w:space="0" w:color="auto"/>
        <w:bottom w:val="none" w:sz="0" w:space="0" w:color="auto"/>
        <w:right w:val="none" w:sz="0" w:space="0" w:color="auto"/>
      </w:divBdr>
    </w:div>
    <w:div w:id="1277520821">
      <w:bodyDiv w:val="1"/>
      <w:marLeft w:val="0"/>
      <w:marRight w:val="0"/>
      <w:marTop w:val="0"/>
      <w:marBottom w:val="0"/>
      <w:divBdr>
        <w:top w:val="none" w:sz="0" w:space="0" w:color="auto"/>
        <w:left w:val="none" w:sz="0" w:space="0" w:color="auto"/>
        <w:bottom w:val="none" w:sz="0" w:space="0" w:color="auto"/>
        <w:right w:val="none" w:sz="0" w:space="0" w:color="auto"/>
      </w:divBdr>
    </w:div>
    <w:div w:id="1289120273">
      <w:bodyDiv w:val="1"/>
      <w:marLeft w:val="0"/>
      <w:marRight w:val="0"/>
      <w:marTop w:val="0"/>
      <w:marBottom w:val="0"/>
      <w:divBdr>
        <w:top w:val="none" w:sz="0" w:space="0" w:color="auto"/>
        <w:left w:val="none" w:sz="0" w:space="0" w:color="auto"/>
        <w:bottom w:val="none" w:sz="0" w:space="0" w:color="auto"/>
        <w:right w:val="none" w:sz="0" w:space="0" w:color="auto"/>
      </w:divBdr>
    </w:div>
    <w:div w:id="1290361539">
      <w:bodyDiv w:val="1"/>
      <w:marLeft w:val="0"/>
      <w:marRight w:val="0"/>
      <w:marTop w:val="0"/>
      <w:marBottom w:val="0"/>
      <w:divBdr>
        <w:top w:val="none" w:sz="0" w:space="0" w:color="auto"/>
        <w:left w:val="none" w:sz="0" w:space="0" w:color="auto"/>
        <w:bottom w:val="none" w:sz="0" w:space="0" w:color="auto"/>
        <w:right w:val="none" w:sz="0" w:space="0" w:color="auto"/>
      </w:divBdr>
    </w:div>
    <w:div w:id="1291135569">
      <w:bodyDiv w:val="1"/>
      <w:marLeft w:val="0"/>
      <w:marRight w:val="0"/>
      <w:marTop w:val="0"/>
      <w:marBottom w:val="0"/>
      <w:divBdr>
        <w:top w:val="none" w:sz="0" w:space="0" w:color="auto"/>
        <w:left w:val="none" w:sz="0" w:space="0" w:color="auto"/>
        <w:bottom w:val="none" w:sz="0" w:space="0" w:color="auto"/>
        <w:right w:val="none" w:sz="0" w:space="0" w:color="auto"/>
      </w:divBdr>
    </w:div>
    <w:div w:id="1305429829">
      <w:bodyDiv w:val="1"/>
      <w:marLeft w:val="0"/>
      <w:marRight w:val="0"/>
      <w:marTop w:val="0"/>
      <w:marBottom w:val="0"/>
      <w:divBdr>
        <w:top w:val="none" w:sz="0" w:space="0" w:color="auto"/>
        <w:left w:val="none" w:sz="0" w:space="0" w:color="auto"/>
        <w:bottom w:val="none" w:sz="0" w:space="0" w:color="auto"/>
        <w:right w:val="none" w:sz="0" w:space="0" w:color="auto"/>
      </w:divBdr>
    </w:div>
    <w:div w:id="1311518157">
      <w:bodyDiv w:val="1"/>
      <w:marLeft w:val="0"/>
      <w:marRight w:val="0"/>
      <w:marTop w:val="0"/>
      <w:marBottom w:val="0"/>
      <w:divBdr>
        <w:top w:val="none" w:sz="0" w:space="0" w:color="auto"/>
        <w:left w:val="none" w:sz="0" w:space="0" w:color="auto"/>
        <w:bottom w:val="none" w:sz="0" w:space="0" w:color="auto"/>
        <w:right w:val="none" w:sz="0" w:space="0" w:color="auto"/>
      </w:divBdr>
    </w:div>
    <w:div w:id="1317732419">
      <w:bodyDiv w:val="1"/>
      <w:marLeft w:val="0"/>
      <w:marRight w:val="0"/>
      <w:marTop w:val="0"/>
      <w:marBottom w:val="0"/>
      <w:divBdr>
        <w:top w:val="none" w:sz="0" w:space="0" w:color="auto"/>
        <w:left w:val="none" w:sz="0" w:space="0" w:color="auto"/>
        <w:bottom w:val="none" w:sz="0" w:space="0" w:color="auto"/>
        <w:right w:val="none" w:sz="0" w:space="0" w:color="auto"/>
      </w:divBdr>
    </w:div>
    <w:div w:id="1328558375">
      <w:bodyDiv w:val="1"/>
      <w:marLeft w:val="0"/>
      <w:marRight w:val="0"/>
      <w:marTop w:val="0"/>
      <w:marBottom w:val="0"/>
      <w:divBdr>
        <w:top w:val="none" w:sz="0" w:space="0" w:color="auto"/>
        <w:left w:val="none" w:sz="0" w:space="0" w:color="auto"/>
        <w:bottom w:val="none" w:sz="0" w:space="0" w:color="auto"/>
        <w:right w:val="none" w:sz="0" w:space="0" w:color="auto"/>
      </w:divBdr>
    </w:div>
    <w:div w:id="1378965494">
      <w:bodyDiv w:val="1"/>
      <w:marLeft w:val="0"/>
      <w:marRight w:val="0"/>
      <w:marTop w:val="0"/>
      <w:marBottom w:val="0"/>
      <w:divBdr>
        <w:top w:val="none" w:sz="0" w:space="0" w:color="auto"/>
        <w:left w:val="none" w:sz="0" w:space="0" w:color="auto"/>
        <w:bottom w:val="none" w:sz="0" w:space="0" w:color="auto"/>
        <w:right w:val="none" w:sz="0" w:space="0" w:color="auto"/>
      </w:divBdr>
      <w:divsChild>
        <w:div w:id="811869774">
          <w:marLeft w:val="720"/>
          <w:marRight w:val="0"/>
          <w:marTop w:val="0"/>
          <w:marBottom w:val="0"/>
          <w:divBdr>
            <w:top w:val="none" w:sz="0" w:space="0" w:color="auto"/>
            <w:left w:val="none" w:sz="0" w:space="0" w:color="auto"/>
            <w:bottom w:val="none" w:sz="0" w:space="0" w:color="auto"/>
            <w:right w:val="none" w:sz="0" w:space="0" w:color="auto"/>
          </w:divBdr>
        </w:div>
        <w:div w:id="144932862">
          <w:marLeft w:val="720"/>
          <w:marRight w:val="0"/>
          <w:marTop w:val="0"/>
          <w:marBottom w:val="0"/>
          <w:divBdr>
            <w:top w:val="none" w:sz="0" w:space="0" w:color="auto"/>
            <w:left w:val="none" w:sz="0" w:space="0" w:color="auto"/>
            <w:bottom w:val="none" w:sz="0" w:space="0" w:color="auto"/>
            <w:right w:val="none" w:sz="0" w:space="0" w:color="auto"/>
          </w:divBdr>
        </w:div>
      </w:divsChild>
    </w:div>
    <w:div w:id="1383208323">
      <w:bodyDiv w:val="1"/>
      <w:marLeft w:val="0"/>
      <w:marRight w:val="0"/>
      <w:marTop w:val="0"/>
      <w:marBottom w:val="0"/>
      <w:divBdr>
        <w:top w:val="none" w:sz="0" w:space="0" w:color="auto"/>
        <w:left w:val="none" w:sz="0" w:space="0" w:color="auto"/>
        <w:bottom w:val="none" w:sz="0" w:space="0" w:color="auto"/>
        <w:right w:val="none" w:sz="0" w:space="0" w:color="auto"/>
      </w:divBdr>
    </w:div>
    <w:div w:id="1387945894">
      <w:bodyDiv w:val="1"/>
      <w:marLeft w:val="0"/>
      <w:marRight w:val="0"/>
      <w:marTop w:val="0"/>
      <w:marBottom w:val="0"/>
      <w:divBdr>
        <w:top w:val="none" w:sz="0" w:space="0" w:color="auto"/>
        <w:left w:val="none" w:sz="0" w:space="0" w:color="auto"/>
        <w:bottom w:val="none" w:sz="0" w:space="0" w:color="auto"/>
        <w:right w:val="none" w:sz="0" w:space="0" w:color="auto"/>
      </w:divBdr>
    </w:div>
    <w:div w:id="1388452856">
      <w:bodyDiv w:val="1"/>
      <w:marLeft w:val="0"/>
      <w:marRight w:val="0"/>
      <w:marTop w:val="0"/>
      <w:marBottom w:val="0"/>
      <w:divBdr>
        <w:top w:val="none" w:sz="0" w:space="0" w:color="auto"/>
        <w:left w:val="none" w:sz="0" w:space="0" w:color="auto"/>
        <w:bottom w:val="none" w:sz="0" w:space="0" w:color="auto"/>
        <w:right w:val="none" w:sz="0" w:space="0" w:color="auto"/>
      </w:divBdr>
    </w:div>
    <w:div w:id="1413434895">
      <w:bodyDiv w:val="1"/>
      <w:marLeft w:val="0"/>
      <w:marRight w:val="0"/>
      <w:marTop w:val="0"/>
      <w:marBottom w:val="0"/>
      <w:divBdr>
        <w:top w:val="none" w:sz="0" w:space="0" w:color="auto"/>
        <w:left w:val="none" w:sz="0" w:space="0" w:color="auto"/>
        <w:bottom w:val="none" w:sz="0" w:space="0" w:color="auto"/>
        <w:right w:val="none" w:sz="0" w:space="0" w:color="auto"/>
      </w:divBdr>
    </w:div>
    <w:div w:id="1420366342">
      <w:bodyDiv w:val="1"/>
      <w:marLeft w:val="0"/>
      <w:marRight w:val="0"/>
      <w:marTop w:val="0"/>
      <w:marBottom w:val="0"/>
      <w:divBdr>
        <w:top w:val="none" w:sz="0" w:space="0" w:color="auto"/>
        <w:left w:val="none" w:sz="0" w:space="0" w:color="auto"/>
        <w:bottom w:val="none" w:sz="0" w:space="0" w:color="auto"/>
        <w:right w:val="none" w:sz="0" w:space="0" w:color="auto"/>
      </w:divBdr>
    </w:div>
    <w:div w:id="1428770698">
      <w:bodyDiv w:val="1"/>
      <w:marLeft w:val="0"/>
      <w:marRight w:val="0"/>
      <w:marTop w:val="0"/>
      <w:marBottom w:val="0"/>
      <w:divBdr>
        <w:top w:val="none" w:sz="0" w:space="0" w:color="auto"/>
        <w:left w:val="none" w:sz="0" w:space="0" w:color="auto"/>
        <w:bottom w:val="none" w:sz="0" w:space="0" w:color="auto"/>
        <w:right w:val="none" w:sz="0" w:space="0" w:color="auto"/>
      </w:divBdr>
      <w:divsChild>
        <w:div w:id="12222215">
          <w:marLeft w:val="907"/>
          <w:marRight w:val="0"/>
          <w:marTop w:val="0"/>
          <w:marBottom w:val="0"/>
          <w:divBdr>
            <w:top w:val="none" w:sz="0" w:space="0" w:color="auto"/>
            <w:left w:val="none" w:sz="0" w:space="0" w:color="auto"/>
            <w:bottom w:val="none" w:sz="0" w:space="0" w:color="auto"/>
            <w:right w:val="none" w:sz="0" w:space="0" w:color="auto"/>
          </w:divBdr>
        </w:div>
      </w:divsChild>
    </w:div>
    <w:div w:id="1436055228">
      <w:bodyDiv w:val="1"/>
      <w:marLeft w:val="0"/>
      <w:marRight w:val="0"/>
      <w:marTop w:val="0"/>
      <w:marBottom w:val="0"/>
      <w:divBdr>
        <w:top w:val="none" w:sz="0" w:space="0" w:color="auto"/>
        <w:left w:val="none" w:sz="0" w:space="0" w:color="auto"/>
        <w:bottom w:val="none" w:sz="0" w:space="0" w:color="auto"/>
        <w:right w:val="none" w:sz="0" w:space="0" w:color="auto"/>
      </w:divBdr>
    </w:div>
    <w:div w:id="1460803455">
      <w:bodyDiv w:val="1"/>
      <w:marLeft w:val="0"/>
      <w:marRight w:val="0"/>
      <w:marTop w:val="0"/>
      <w:marBottom w:val="0"/>
      <w:divBdr>
        <w:top w:val="none" w:sz="0" w:space="0" w:color="auto"/>
        <w:left w:val="none" w:sz="0" w:space="0" w:color="auto"/>
        <w:bottom w:val="none" w:sz="0" w:space="0" w:color="auto"/>
        <w:right w:val="none" w:sz="0" w:space="0" w:color="auto"/>
      </w:divBdr>
    </w:div>
    <w:div w:id="1471358777">
      <w:bodyDiv w:val="1"/>
      <w:marLeft w:val="0"/>
      <w:marRight w:val="0"/>
      <w:marTop w:val="0"/>
      <w:marBottom w:val="0"/>
      <w:divBdr>
        <w:top w:val="none" w:sz="0" w:space="0" w:color="auto"/>
        <w:left w:val="none" w:sz="0" w:space="0" w:color="auto"/>
        <w:bottom w:val="none" w:sz="0" w:space="0" w:color="auto"/>
        <w:right w:val="none" w:sz="0" w:space="0" w:color="auto"/>
      </w:divBdr>
      <w:divsChild>
        <w:div w:id="930354383">
          <w:marLeft w:val="907"/>
          <w:marRight w:val="0"/>
          <w:marTop w:val="0"/>
          <w:marBottom w:val="0"/>
          <w:divBdr>
            <w:top w:val="none" w:sz="0" w:space="0" w:color="auto"/>
            <w:left w:val="none" w:sz="0" w:space="0" w:color="auto"/>
            <w:bottom w:val="none" w:sz="0" w:space="0" w:color="auto"/>
            <w:right w:val="none" w:sz="0" w:space="0" w:color="auto"/>
          </w:divBdr>
        </w:div>
      </w:divsChild>
    </w:div>
    <w:div w:id="1472013340">
      <w:bodyDiv w:val="1"/>
      <w:marLeft w:val="0"/>
      <w:marRight w:val="0"/>
      <w:marTop w:val="0"/>
      <w:marBottom w:val="0"/>
      <w:divBdr>
        <w:top w:val="none" w:sz="0" w:space="0" w:color="auto"/>
        <w:left w:val="none" w:sz="0" w:space="0" w:color="auto"/>
        <w:bottom w:val="none" w:sz="0" w:space="0" w:color="auto"/>
        <w:right w:val="none" w:sz="0" w:space="0" w:color="auto"/>
      </w:divBdr>
    </w:div>
    <w:div w:id="1479423216">
      <w:bodyDiv w:val="1"/>
      <w:marLeft w:val="0"/>
      <w:marRight w:val="0"/>
      <w:marTop w:val="0"/>
      <w:marBottom w:val="0"/>
      <w:divBdr>
        <w:top w:val="none" w:sz="0" w:space="0" w:color="auto"/>
        <w:left w:val="none" w:sz="0" w:space="0" w:color="auto"/>
        <w:bottom w:val="none" w:sz="0" w:space="0" w:color="auto"/>
        <w:right w:val="none" w:sz="0" w:space="0" w:color="auto"/>
      </w:divBdr>
    </w:div>
    <w:div w:id="1496459770">
      <w:bodyDiv w:val="1"/>
      <w:marLeft w:val="0"/>
      <w:marRight w:val="0"/>
      <w:marTop w:val="0"/>
      <w:marBottom w:val="0"/>
      <w:divBdr>
        <w:top w:val="none" w:sz="0" w:space="0" w:color="auto"/>
        <w:left w:val="none" w:sz="0" w:space="0" w:color="auto"/>
        <w:bottom w:val="none" w:sz="0" w:space="0" w:color="auto"/>
        <w:right w:val="none" w:sz="0" w:space="0" w:color="auto"/>
      </w:divBdr>
    </w:div>
    <w:div w:id="1519083312">
      <w:bodyDiv w:val="1"/>
      <w:marLeft w:val="0"/>
      <w:marRight w:val="0"/>
      <w:marTop w:val="0"/>
      <w:marBottom w:val="0"/>
      <w:divBdr>
        <w:top w:val="none" w:sz="0" w:space="0" w:color="auto"/>
        <w:left w:val="none" w:sz="0" w:space="0" w:color="auto"/>
        <w:bottom w:val="none" w:sz="0" w:space="0" w:color="auto"/>
        <w:right w:val="none" w:sz="0" w:space="0" w:color="auto"/>
      </w:divBdr>
    </w:div>
    <w:div w:id="1532760078">
      <w:bodyDiv w:val="1"/>
      <w:marLeft w:val="0"/>
      <w:marRight w:val="0"/>
      <w:marTop w:val="0"/>
      <w:marBottom w:val="0"/>
      <w:divBdr>
        <w:top w:val="none" w:sz="0" w:space="0" w:color="auto"/>
        <w:left w:val="none" w:sz="0" w:space="0" w:color="auto"/>
        <w:bottom w:val="none" w:sz="0" w:space="0" w:color="auto"/>
        <w:right w:val="none" w:sz="0" w:space="0" w:color="auto"/>
      </w:divBdr>
    </w:div>
    <w:div w:id="1535536772">
      <w:bodyDiv w:val="1"/>
      <w:marLeft w:val="0"/>
      <w:marRight w:val="0"/>
      <w:marTop w:val="0"/>
      <w:marBottom w:val="0"/>
      <w:divBdr>
        <w:top w:val="none" w:sz="0" w:space="0" w:color="auto"/>
        <w:left w:val="none" w:sz="0" w:space="0" w:color="auto"/>
        <w:bottom w:val="none" w:sz="0" w:space="0" w:color="auto"/>
        <w:right w:val="none" w:sz="0" w:space="0" w:color="auto"/>
      </w:divBdr>
    </w:div>
    <w:div w:id="1538618744">
      <w:bodyDiv w:val="1"/>
      <w:marLeft w:val="0"/>
      <w:marRight w:val="0"/>
      <w:marTop w:val="0"/>
      <w:marBottom w:val="0"/>
      <w:divBdr>
        <w:top w:val="none" w:sz="0" w:space="0" w:color="auto"/>
        <w:left w:val="none" w:sz="0" w:space="0" w:color="auto"/>
        <w:bottom w:val="none" w:sz="0" w:space="0" w:color="auto"/>
        <w:right w:val="none" w:sz="0" w:space="0" w:color="auto"/>
      </w:divBdr>
    </w:div>
    <w:div w:id="1560701234">
      <w:bodyDiv w:val="1"/>
      <w:marLeft w:val="0"/>
      <w:marRight w:val="0"/>
      <w:marTop w:val="0"/>
      <w:marBottom w:val="0"/>
      <w:divBdr>
        <w:top w:val="none" w:sz="0" w:space="0" w:color="auto"/>
        <w:left w:val="none" w:sz="0" w:space="0" w:color="auto"/>
        <w:bottom w:val="none" w:sz="0" w:space="0" w:color="auto"/>
        <w:right w:val="none" w:sz="0" w:space="0" w:color="auto"/>
      </w:divBdr>
      <w:divsChild>
        <w:div w:id="421612487">
          <w:marLeft w:val="907"/>
          <w:marRight w:val="0"/>
          <w:marTop w:val="0"/>
          <w:marBottom w:val="0"/>
          <w:divBdr>
            <w:top w:val="none" w:sz="0" w:space="0" w:color="auto"/>
            <w:left w:val="none" w:sz="0" w:space="0" w:color="auto"/>
            <w:bottom w:val="none" w:sz="0" w:space="0" w:color="auto"/>
            <w:right w:val="none" w:sz="0" w:space="0" w:color="auto"/>
          </w:divBdr>
        </w:div>
        <w:div w:id="1098939083">
          <w:marLeft w:val="907"/>
          <w:marRight w:val="0"/>
          <w:marTop w:val="0"/>
          <w:marBottom w:val="0"/>
          <w:divBdr>
            <w:top w:val="none" w:sz="0" w:space="0" w:color="auto"/>
            <w:left w:val="none" w:sz="0" w:space="0" w:color="auto"/>
            <w:bottom w:val="none" w:sz="0" w:space="0" w:color="auto"/>
            <w:right w:val="none" w:sz="0" w:space="0" w:color="auto"/>
          </w:divBdr>
        </w:div>
        <w:div w:id="1513569253">
          <w:marLeft w:val="907"/>
          <w:marRight w:val="0"/>
          <w:marTop w:val="0"/>
          <w:marBottom w:val="0"/>
          <w:divBdr>
            <w:top w:val="none" w:sz="0" w:space="0" w:color="auto"/>
            <w:left w:val="none" w:sz="0" w:space="0" w:color="auto"/>
            <w:bottom w:val="none" w:sz="0" w:space="0" w:color="auto"/>
            <w:right w:val="none" w:sz="0" w:space="0" w:color="auto"/>
          </w:divBdr>
        </w:div>
      </w:divsChild>
    </w:div>
    <w:div w:id="1564632845">
      <w:bodyDiv w:val="1"/>
      <w:marLeft w:val="0"/>
      <w:marRight w:val="0"/>
      <w:marTop w:val="0"/>
      <w:marBottom w:val="0"/>
      <w:divBdr>
        <w:top w:val="none" w:sz="0" w:space="0" w:color="auto"/>
        <w:left w:val="none" w:sz="0" w:space="0" w:color="auto"/>
        <w:bottom w:val="none" w:sz="0" w:space="0" w:color="auto"/>
        <w:right w:val="none" w:sz="0" w:space="0" w:color="auto"/>
      </w:divBdr>
    </w:div>
    <w:div w:id="1566794620">
      <w:bodyDiv w:val="1"/>
      <w:marLeft w:val="0"/>
      <w:marRight w:val="0"/>
      <w:marTop w:val="0"/>
      <w:marBottom w:val="0"/>
      <w:divBdr>
        <w:top w:val="none" w:sz="0" w:space="0" w:color="auto"/>
        <w:left w:val="none" w:sz="0" w:space="0" w:color="auto"/>
        <w:bottom w:val="none" w:sz="0" w:space="0" w:color="auto"/>
        <w:right w:val="none" w:sz="0" w:space="0" w:color="auto"/>
      </w:divBdr>
    </w:div>
    <w:div w:id="1600063926">
      <w:bodyDiv w:val="1"/>
      <w:marLeft w:val="0"/>
      <w:marRight w:val="0"/>
      <w:marTop w:val="0"/>
      <w:marBottom w:val="0"/>
      <w:divBdr>
        <w:top w:val="none" w:sz="0" w:space="0" w:color="auto"/>
        <w:left w:val="none" w:sz="0" w:space="0" w:color="auto"/>
        <w:bottom w:val="none" w:sz="0" w:space="0" w:color="auto"/>
        <w:right w:val="none" w:sz="0" w:space="0" w:color="auto"/>
      </w:divBdr>
    </w:div>
    <w:div w:id="1623421046">
      <w:bodyDiv w:val="1"/>
      <w:marLeft w:val="0"/>
      <w:marRight w:val="0"/>
      <w:marTop w:val="0"/>
      <w:marBottom w:val="0"/>
      <w:divBdr>
        <w:top w:val="none" w:sz="0" w:space="0" w:color="auto"/>
        <w:left w:val="none" w:sz="0" w:space="0" w:color="auto"/>
        <w:bottom w:val="none" w:sz="0" w:space="0" w:color="auto"/>
        <w:right w:val="none" w:sz="0" w:space="0" w:color="auto"/>
      </w:divBdr>
    </w:div>
    <w:div w:id="1631743284">
      <w:bodyDiv w:val="1"/>
      <w:marLeft w:val="0"/>
      <w:marRight w:val="0"/>
      <w:marTop w:val="0"/>
      <w:marBottom w:val="0"/>
      <w:divBdr>
        <w:top w:val="none" w:sz="0" w:space="0" w:color="auto"/>
        <w:left w:val="none" w:sz="0" w:space="0" w:color="auto"/>
        <w:bottom w:val="none" w:sz="0" w:space="0" w:color="auto"/>
        <w:right w:val="none" w:sz="0" w:space="0" w:color="auto"/>
      </w:divBdr>
    </w:div>
    <w:div w:id="1649243989">
      <w:bodyDiv w:val="1"/>
      <w:marLeft w:val="0"/>
      <w:marRight w:val="0"/>
      <w:marTop w:val="0"/>
      <w:marBottom w:val="0"/>
      <w:divBdr>
        <w:top w:val="none" w:sz="0" w:space="0" w:color="auto"/>
        <w:left w:val="none" w:sz="0" w:space="0" w:color="auto"/>
        <w:bottom w:val="none" w:sz="0" w:space="0" w:color="auto"/>
        <w:right w:val="none" w:sz="0" w:space="0" w:color="auto"/>
      </w:divBdr>
    </w:div>
    <w:div w:id="1649700048">
      <w:bodyDiv w:val="1"/>
      <w:marLeft w:val="0"/>
      <w:marRight w:val="0"/>
      <w:marTop w:val="0"/>
      <w:marBottom w:val="0"/>
      <w:divBdr>
        <w:top w:val="none" w:sz="0" w:space="0" w:color="auto"/>
        <w:left w:val="none" w:sz="0" w:space="0" w:color="auto"/>
        <w:bottom w:val="none" w:sz="0" w:space="0" w:color="auto"/>
        <w:right w:val="none" w:sz="0" w:space="0" w:color="auto"/>
      </w:divBdr>
    </w:div>
    <w:div w:id="1666009860">
      <w:bodyDiv w:val="1"/>
      <w:marLeft w:val="0"/>
      <w:marRight w:val="0"/>
      <w:marTop w:val="0"/>
      <w:marBottom w:val="0"/>
      <w:divBdr>
        <w:top w:val="none" w:sz="0" w:space="0" w:color="auto"/>
        <w:left w:val="none" w:sz="0" w:space="0" w:color="auto"/>
        <w:bottom w:val="none" w:sz="0" w:space="0" w:color="auto"/>
        <w:right w:val="none" w:sz="0" w:space="0" w:color="auto"/>
      </w:divBdr>
    </w:div>
    <w:div w:id="1670329490">
      <w:bodyDiv w:val="1"/>
      <w:marLeft w:val="0"/>
      <w:marRight w:val="0"/>
      <w:marTop w:val="0"/>
      <w:marBottom w:val="0"/>
      <w:divBdr>
        <w:top w:val="none" w:sz="0" w:space="0" w:color="auto"/>
        <w:left w:val="none" w:sz="0" w:space="0" w:color="auto"/>
        <w:bottom w:val="none" w:sz="0" w:space="0" w:color="auto"/>
        <w:right w:val="none" w:sz="0" w:space="0" w:color="auto"/>
      </w:divBdr>
    </w:div>
    <w:div w:id="1686859206">
      <w:bodyDiv w:val="1"/>
      <w:marLeft w:val="0"/>
      <w:marRight w:val="0"/>
      <w:marTop w:val="0"/>
      <w:marBottom w:val="0"/>
      <w:divBdr>
        <w:top w:val="none" w:sz="0" w:space="0" w:color="auto"/>
        <w:left w:val="none" w:sz="0" w:space="0" w:color="auto"/>
        <w:bottom w:val="none" w:sz="0" w:space="0" w:color="auto"/>
        <w:right w:val="none" w:sz="0" w:space="0" w:color="auto"/>
      </w:divBdr>
    </w:div>
    <w:div w:id="1718579969">
      <w:bodyDiv w:val="1"/>
      <w:marLeft w:val="0"/>
      <w:marRight w:val="0"/>
      <w:marTop w:val="0"/>
      <w:marBottom w:val="0"/>
      <w:divBdr>
        <w:top w:val="none" w:sz="0" w:space="0" w:color="auto"/>
        <w:left w:val="none" w:sz="0" w:space="0" w:color="auto"/>
        <w:bottom w:val="none" w:sz="0" w:space="0" w:color="auto"/>
        <w:right w:val="none" w:sz="0" w:space="0" w:color="auto"/>
      </w:divBdr>
    </w:div>
    <w:div w:id="1731224802">
      <w:bodyDiv w:val="1"/>
      <w:marLeft w:val="0"/>
      <w:marRight w:val="0"/>
      <w:marTop w:val="0"/>
      <w:marBottom w:val="0"/>
      <w:divBdr>
        <w:top w:val="none" w:sz="0" w:space="0" w:color="auto"/>
        <w:left w:val="none" w:sz="0" w:space="0" w:color="auto"/>
        <w:bottom w:val="none" w:sz="0" w:space="0" w:color="auto"/>
        <w:right w:val="none" w:sz="0" w:space="0" w:color="auto"/>
      </w:divBdr>
    </w:div>
    <w:div w:id="1736126162">
      <w:bodyDiv w:val="1"/>
      <w:marLeft w:val="0"/>
      <w:marRight w:val="0"/>
      <w:marTop w:val="0"/>
      <w:marBottom w:val="0"/>
      <w:divBdr>
        <w:top w:val="none" w:sz="0" w:space="0" w:color="auto"/>
        <w:left w:val="none" w:sz="0" w:space="0" w:color="auto"/>
        <w:bottom w:val="none" w:sz="0" w:space="0" w:color="auto"/>
        <w:right w:val="none" w:sz="0" w:space="0" w:color="auto"/>
      </w:divBdr>
      <w:divsChild>
        <w:div w:id="379980280">
          <w:marLeft w:val="0"/>
          <w:marRight w:val="0"/>
          <w:marTop w:val="150"/>
          <w:marBottom w:val="150"/>
          <w:divBdr>
            <w:top w:val="none" w:sz="0" w:space="0" w:color="auto"/>
            <w:left w:val="none" w:sz="0" w:space="0" w:color="auto"/>
            <w:bottom w:val="none" w:sz="0" w:space="0" w:color="auto"/>
            <w:right w:val="none" w:sz="0" w:space="0" w:color="auto"/>
          </w:divBdr>
        </w:div>
      </w:divsChild>
    </w:div>
    <w:div w:id="1745760519">
      <w:bodyDiv w:val="1"/>
      <w:marLeft w:val="0"/>
      <w:marRight w:val="0"/>
      <w:marTop w:val="0"/>
      <w:marBottom w:val="0"/>
      <w:divBdr>
        <w:top w:val="none" w:sz="0" w:space="0" w:color="auto"/>
        <w:left w:val="none" w:sz="0" w:space="0" w:color="auto"/>
        <w:bottom w:val="none" w:sz="0" w:space="0" w:color="auto"/>
        <w:right w:val="none" w:sz="0" w:space="0" w:color="auto"/>
      </w:divBdr>
    </w:div>
    <w:div w:id="1752895450">
      <w:bodyDiv w:val="1"/>
      <w:marLeft w:val="0"/>
      <w:marRight w:val="0"/>
      <w:marTop w:val="0"/>
      <w:marBottom w:val="0"/>
      <w:divBdr>
        <w:top w:val="none" w:sz="0" w:space="0" w:color="auto"/>
        <w:left w:val="none" w:sz="0" w:space="0" w:color="auto"/>
        <w:bottom w:val="none" w:sz="0" w:space="0" w:color="auto"/>
        <w:right w:val="none" w:sz="0" w:space="0" w:color="auto"/>
      </w:divBdr>
    </w:div>
    <w:div w:id="1761565256">
      <w:bodyDiv w:val="1"/>
      <w:marLeft w:val="0"/>
      <w:marRight w:val="0"/>
      <w:marTop w:val="0"/>
      <w:marBottom w:val="0"/>
      <w:divBdr>
        <w:top w:val="none" w:sz="0" w:space="0" w:color="auto"/>
        <w:left w:val="none" w:sz="0" w:space="0" w:color="auto"/>
        <w:bottom w:val="none" w:sz="0" w:space="0" w:color="auto"/>
        <w:right w:val="none" w:sz="0" w:space="0" w:color="auto"/>
      </w:divBdr>
    </w:div>
    <w:div w:id="1804230899">
      <w:bodyDiv w:val="1"/>
      <w:marLeft w:val="0"/>
      <w:marRight w:val="0"/>
      <w:marTop w:val="0"/>
      <w:marBottom w:val="0"/>
      <w:divBdr>
        <w:top w:val="none" w:sz="0" w:space="0" w:color="auto"/>
        <w:left w:val="none" w:sz="0" w:space="0" w:color="auto"/>
        <w:bottom w:val="none" w:sz="0" w:space="0" w:color="auto"/>
        <w:right w:val="none" w:sz="0" w:space="0" w:color="auto"/>
      </w:divBdr>
      <w:divsChild>
        <w:div w:id="1204291941">
          <w:marLeft w:val="907"/>
          <w:marRight w:val="0"/>
          <w:marTop w:val="0"/>
          <w:marBottom w:val="0"/>
          <w:divBdr>
            <w:top w:val="none" w:sz="0" w:space="0" w:color="auto"/>
            <w:left w:val="none" w:sz="0" w:space="0" w:color="auto"/>
            <w:bottom w:val="none" w:sz="0" w:space="0" w:color="auto"/>
            <w:right w:val="none" w:sz="0" w:space="0" w:color="auto"/>
          </w:divBdr>
        </w:div>
      </w:divsChild>
    </w:div>
    <w:div w:id="1811555491">
      <w:bodyDiv w:val="1"/>
      <w:marLeft w:val="0"/>
      <w:marRight w:val="0"/>
      <w:marTop w:val="0"/>
      <w:marBottom w:val="0"/>
      <w:divBdr>
        <w:top w:val="none" w:sz="0" w:space="0" w:color="auto"/>
        <w:left w:val="none" w:sz="0" w:space="0" w:color="auto"/>
        <w:bottom w:val="none" w:sz="0" w:space="0" w:color="auto"/>
        <w:right w:val="none" w:sz="0" w:space="0" w:color="auto"/>
      </w:divBdr>
    </w:div>
    <w:div w:id="1827235674">
      <w:bodyDiv w:val="1"/>
      <w:marLeft w:val="0"/>
      <w:marRight w:val="0"/>
      <w:marTop w:val="0"/>
      <w:marBottom w:val="0"/>
      <w:divBdr>
        <w:top w:val="none" w:sz="0" w:space="0" w:color="auto"/>
        <w:left w:val="none" w:sz="0" w:space="0" w:color="auto"/>
        <w:bottom w:val="none" w:sz="0" w:space="0" w:color="auto"/>
        <w:right w:val="none" w:sz="0" w:space="0" w:color="auto"/>
      </w:divBdr>
      <w:divsChild>
        <w:div w:id="2145418990">
          <w:marLeft w:val="907"/>
          <w:marRight w:val="0"/>
          <w:marTop w:val="0"/>
          <w:marBottom w:val="0"/>
          <w:divBdr>
            <w:top w:val="none" w:sz="0" w:space="0" w:color="auto"/>
            <w:left w:val="none" w:sz="0" w:space="0" w:color="auto"/>
            <w:bottom w:val="none" w:sz="0" w:space="0" w:color="auto"/>
            <w:right w:val="none" w:sz="0" w:space="0" w:color="auto"/>
          </w:divBdr>
        </w:div>
        <w:div w:id="1034840794">
          <w:marLeft w:val="907"/>
          <w:marRight w:val="0"/>
          <w:marTop w:val="0"/>
          <w:marBottom w:val="0"/>
          <w:divBdr>
            <w:top w:val="none" w:sz="0" w:space="0" w:color="auto"/>
            <w:left w:val="none" w:sz="0" w:space="0" w:color="auto"/>
            <w:bottom w:val="none" w:sz="0" w:space="0" w:color="auto"/>
            <w:right w:val="none" w:sz="0" w:space="0" w:color="auto"/>
          </w:divBdr>
        </w:div>
        <w:div w:id="425270792">
          <w:marLeft w:val="907"/>
          <w:marRight w:val="0"/>
          <w:marTop w:val="0"/>
          <w:marBottom w:val="0"/>
          <w:divBdr>
            <w:top w:val="none" w:sz="0" w:space="0" w:color="auto"/>
            <w:left w:val="none" w:sz="0" w:space="0" w:color="auto"/>
            <w:bottom w:val="none" w:sz="0" w:space="0" w:color="auto"/>
            <w:right w:val="none" w:sz="0" w:space="0" w:color="auto"/>
          </w:divBdr>
        </w:div>
        <w:div w:id="1890728626">
          <w:marLeft w:val="907"/>
          <w:marRight w:val="0"/>
          <w:marTop w:val="0"/>
          <w:marBottom w:val="0"/>
          <w:divBdr>
            <w:top w:val="none" w:sz="0" w:space="0" w:color="auto"/>
            <w:left w:val="none" w:sz="0" w:space="0" w:color="auto"/>
            <w:bottom w:val="none" w:sz="0" w:space="0" w:color="auto"/>
            <w:right w:val="none" w:sz="0" w:space="0" w:color="auto"/>
          </w:divBdr>
        </w:div>
        <w:div w:id="348679810">
          <w:marLeft w:val="907"/>
          <w:marRight w:val="0"/>
          <w:marTop w:val="0"/>
          <w:marBottom w:val="0"/>
          <w:divBdr>
            <w:top w:val="none" w:sz="0" w:space="0" w:color="auto"/>
            <w:left w:val="none" w:sz="0" w:space="0" w:color="auto"/>
            <w:bottom w:val="none" w:sz="0" w:space="0" w:color="auto"/>
            <w:right w:val="none" w:sz="0" w:space="0" w:color="auto"/>
          </w:divBdr>
        </w:div>
        <w:div w:id="1716806705">
          <w:marLeft w:val="907"/>
          <w:marRight w:val="0"/>
          <w:marTop w:val="0"/>
          <w:marBottom w:val="0"/>
          <w:divBdr>
            <w:top w:val="none" w:sz="0" w:space="0" w:color="auto"/>
            <w:left w:val="none" w:sz="0" w:space="0" w:color="auto"/>
            <w:bottom w:val="none" w:sz="0" w:space="0" w:color="auto"/>
            <w:right w:val="none" w:sz="0" w:space="0" w:color="auto"/>
          </w:divBdr>
        </w:div>
        <w:div w:id="1493175433">
          <w:marLeft w:val="907"/>
          <w:marRight w:val="0"/>
          <w:marTop w:val="0"/>
          <w:marBottom w:val="0"/>
          <w:divBdr>
            <w:top w:val="none" w:sz="0" w:space="0" w:color="auto"/>
            <w:left w:val="none" w:sz="0" w:space="0" w:color="auto"/>
            <w:bottom w:val="none" w:sz="0" w:space="0" w:color="auto"/>
            <w:right w:val="none" w:sz="0" w:space="0" w:color="auto"/>
          </w:divBdr>
        </w:div>
        <w:div w:id="1722822408">
          <w:marLeft w:val="907"/>
          <w:marRight w:val="0"/>
          <w:marTop w:val="0"/>
          <w:marBottom w:val="0"/>
          <w:divBdr>
            <w:top w:val="none" w:sz="0" w:space="0" w:color="auto"/>
            <w:left w:val="none" w:sz="0" w:space="0" w:color="auto"/>
            <w:bottom w:val="none" w:sz="0" w:space="0" w:color="auto"/>
            <w:right w:val="none" w:sz="0" w:space="0" w:color="auto"/>
          </w:divBdr>
        </w:div>
      </w:divsChild>
    </w:div>
    <w:div w:id="1827866339">
      <w:bodyDiv w:val="1"/>
      <w:marLeft w:val="0"/>
      <w:marRight w:val="0"/>
      <w:marTop w:val="0"/>
      <w:marBottom w:val="0"/>
      <w:divBdr>
        <w:top w:val="none" w:sz="0" w:space="0" w:color="auto"/>
        <w:left w:val="none" w:sz="0" w:space="0" w:color="auto"/>
        <w:bottom w:val="none" w:sz="0" w:space="0" w:color="auto"/>
        <w:right w:val="none" w:sz="0" w:space="0" w:color="auto"/>
      </w:divBdr>
    </w:div>
    <w:div w:id="1883705786">
      <w:bodyDiv w:val="1"/>
      <w:marLeft w:val="0"/>
      <w:marRight w:val="0"/>
      <w:marTop w:val="0"/>
      <w:marBottom w:val="0"/>
      <w:divBdr>
        <w:top w:val="none" w:sz="0" w:space="0" w:color="auto"/>
        <w:left w:val="none" w:sz="0" w:space="0" w:color="auto"/>
        <w:bottom w:val="none" w:sz="0" w:space="0" w:color="auto"/>
        <w:right w:val="none" w:sz="0" w:space="0" w:color="auto"/>
      </w:divBdr>
    </w:div>
    <w:div w:id="1908374441">
      <w:bodyDiv w:val="1"/>
      <w:marLeft w:val="0"/>
      <w:marRight w:val="0"/>
      <w:marTop w:val="0"/>
      <w:marBottom w:val="0"/>
      <w:divBdr>
        <w:top w:val="none" w:sz="0" w:space="0" w:color="auto"/>
        <w:left w:val="none" w:sz="0" w:space="0" w:color="auto"/>
        <w:bottom w:val="none" w:sz="0" w:space="0" w:color="auto"/>
        <w:right w:val="none" w:sz="0" w:space="0" w:color="auto"/>
      </w:divBdr>
    </w:div>
    <w:div w:id="1928730347">
      <w:bodyDiv w:val="1"/>
      <w:marLeft w:val="0"/>
      <w:marRight w:val="0"/>
      <w:marTop w:val="0"/>
      <w:marBottom w:val="0"/>
      <w:divBdr>
        <w:top w:val="none" w:sz="0" w:space="0" w:color="auto"/>
        <w:left w:val="none" w:sz="0" w:space="0" w:color="auto"/>
        <w:bottom w:val="none" w:sz="0" w:space="0" w:color="auto"/>
        <w:right w:val="none" w:sz="0" w:space="0" w:color="auto"/>
      </w:divBdr>
    </w:div>
    <w:div w:id="1960869285">
      <w:bodyDiv w:val="1"/>
      <w:marLeft w:val="0"/>
      <w:marRight w:val="0"/>
      <w:marTop w:val="0"/>
      <w:marBottom w:val="0"/>
      <w:divBdr>
        <w:top w:val="none" w:sz="0" w:space="0" w:color="auto"/>
        <w:left w:val="none" w:sz="0" w:space="0" w:color="auto"/>
        <w:bottom w:val="none" w:sz="0" w:space="0" w:color="auto"/>
        <w:right w:val="none" w:sz="0" w:space="0" w:color="auto"/>
      </w:divBdr>
    </w:div>
    <w:div w:id="1962957841">
      <w:bodyDiv w:val="1"/>
      <w:marLeft w:val="0"/>
      <w:marRight w:val="0"/>
      <w:marTop w:val="0"/>
      <w:marBottom w:val="0"/>
      <w:divBdr>
        <w:top w:val="none" w:sz="0" w:space="0" w:color="auto"/>
        <w:left w:val="none" w:sz="0" w:space="0" w:color="auto"/>
        <w:bottom w:val="none" w:sz="0" w:space="0" w:color="auto"/>
        <w:right w:val="none" w:sz="0" w:space="0" w:color="auto"/>
      </w:divBdr>
    </w:div>
    <w:div w:id="1989431771">
      <w:bodyDiv w:val="1"/>
      <w:marLeft w:val="0"/>
      <w:marRight w:val="0"/>
      <w:marTop w:val="0"/>
      <w:marBottom w:val="0"/>
      <w:divBdr>
        <w:top w:val="none" w:sz="0" w:space="0" w:color="auto"/>
        <w:left w:val="none" w:sz="0" w:space="0" w:color="auto"/>
        <w:bottom w:val="none" w:sz="0" w:space="0" w:color="auto"/>
        <w:right w:val="none" w:sz="0" w:space="0" w:color="auto"/>
      </w:divBdr>
    </w:div>
    <w:div w:id="2017531982">
      <w:bodyDiv w:val="1"/>
      <w:marLeft w:val="0"/>
      <w:marRight w:val="0"/>
      <w:marTop w:val="0"/>
      <w:marBottom w:val="0"/>
      <w:divBdr>
        <w:top w:val="none" w:sz="0" w:space="0" w:color="auto"/>
        <w:left w:val="none" w:sz="0" w:space="0" w:color="auto"/>
        <w:bottom w:val="none" w:sz="0" w:space="0" w:color="auto"/>
        <w:right w:val="none" w:sz="0" w:space="0" w:color="auto"/>
      </w:divBdr>
    </w:div>
    <w:div w:id="2026323040">
      <w:bodyDiv w:val="1"/>
      <w:marLeft w:val="0"/>
      <w:marRight w:val="0"/>
      <w:marTop w:val="0"/>
      <w:marBottom w:val="0"/>
      <w:divBdr>
        <w:top w:val="none" w:sz="0" w:space="0" w:color="auto"/>
        <w:left w:val="none" w:sz="0" w:space="0" w:color="auto"/>
        <w:bottom w:val="none" w:sz="0" w:space="0" w:color="auto"/>
        <w:right w:val="none" w:sz="0" w:space="0" w:color="auto"/>
      </w:divBdr>
    </w:div>
    <w:div w:id="2028672907">
      <w:bodyDiv w:val="1"/>
      <w:marLeft w:val="0"/>
      <w:marRight w:val="0"/>
      <w:marTop w:val="0"/>
      <w:marBottom w:val="0"/>
      <w:divBdr>
        <w:top w:val="none" w:sz="0" w:space="0" w:color="auto"/>
        <w:left w:val="none" w:sz="0" w:space="0" w:color="auto"/>
        <w:bottom w:val="none" w:sz="0" w:space="0" w:color="auto"/>
        <w:right w:val="none" w:sz="0" w:space="0" w:color="auto"/>
      </w:divBdr>
    </w:div>
    <w:div w:id="2030720431">
      <w:bodyDiv w:val="1"/>
      <w:marLeft w:val="0"/>
      <w:marRight w:val="0"/>
      <w:marTop w:val="0"/>
      <w:marBottom w:val="0"/>
      <w:divBdr>
        <w:top w:val="none" w:sz="0" w:space="0" w:color="auto"/>
        <w:left w:val="none" w:sz="0" w:space="0" w:color="auto"/>
        <w:bottom w:val="none" w:sz="0" w:space="0" w:color="auto"/>
        <w:right w:val="none" w:sz="0" w:space="0" w:color="auto"/>
      </w:divBdr>
    </w:div>
    <w:div w:id="2037849957">
      <w:bodyDiv w:val="1"/>
      <w:marLeft w:val="0"/>
      <w:marRight w:val="0"/>
      <w:marTop w:val="0"/>
      <w:marBottom w:val="0"/>
      <w:divBdr>
        <w:top w:val="none" w:sz="0" w:space="0" w:color="auto"/>
        <w:left w:val="none" w:sz="0" w:space="0" w:color="auto"/>
        <w:bottom w:val="none" w:sz="0" w:space="0" w:color="auto"/>
        <w:right w:val="none" w:sz="0" w:space="0" w:color="auto"/>
      </w:divBdr>
      <w:divsChild>
        <w:div w:id="1930968465">
          <w:marLeft w:val="907"/>
          <w:marRight w:val="0"/>
          <w:marTop w:val="0"/>
          <w:marBottom w:val="0"/>
          <w:divBdr>
            <w:top w:val="none" w:sz="0" w:space="0" w:color="auto"/>
            <w:left w:val="none" w:sz="0" w:space="0" w:color="auto"/>
            <w:bottom w:val="none" w:sz="0" w:space="0" w:color="auto"/>
            <w:right w:val="none" w:sz="0" w:space="0" w:color="auto"/>
          </w:divBdr>
        </w:div>
        <w:div w:id="423915124">
          <w:marLeft w:val="907"/>
          <w:marRight w:val="0"/>
          <w:marTop w:val="0"/>
          <w:marBottom w:val="0"/>
          <w:divBdr>
            <w:top w:val="none" w:sz="0" w:space="0" w:color="auto"/>
            <w:left w:val="none" w:sz="0" w:space="0" w:color="auto"/>
            <w:bottom w:val="none" w:sz="0" w:space="0" w:color="auto"/>
            <w:right w:val="none" w:sz="0" w:space="0" w:color="auto"/>
          </w:divBdr>
        </w:div>
      </w:divsChild>
    </w:div>
    <w:div w:id="2052611954">
      <w:bodyDiv w:val="1"/>
      <w:marLeft w:val="0"/>
      <w:marRight w:val="0"/>
      <w:marTop w:val="0"/>
      <w:marBottom w:val="0"/>
      <w:divBdr>
        <w:top w:val="none" w:sz="0" w:space="0" w:color="auto"/>
        <w:left w:val="none" w:sz="0" w:space="0" w:color="auto"/>
        <w:bottom w:val="none" w:sz="0" w:space="0" w:color="auto"/>
        <w:right w:val="none" w:sz="0" w:space="0" w:color="auto"/>
      </w:divBdr>
    </w:div>
    <w:div w:id="2058966332">
      <w:bodyDiv w:val="1"/>
      <w:marLeft w:val="0"/>
      <w:marRight w:val="0"/>
      <w:marTop w:val="0"/>
      <w:marBottom w:val="0"/>
      <w:divBdr>
        <w:top w:val="none" w:sz="0" w:space="0" w:color="auto"/>
        <w:left w:val="none" w:sz="0" w:space="0" w:color="auto"/>
        <w:bottom w:val="none" w:sz="0" w:space="0" w:color="auto"/>
        <w:right w:val="none" w:sz="0" w:space="0" w:color="auto"/>
      </w:divBdr>
      <w:divsChild>
        <w:div w:id="186598703">
          <w:marLeft w:val="907"/>
          <w:marRight w:val="0"/>
          <w:marTop w:val="0"/>
          <w:marBottom w:val="0"/>
          <w:divBdr>
            <w:top w:val="none" w:sz="0" w:space="0" w:color="auto"/>
            <w:left w:val="none" w:sz="0" w:space="0" w:color="auto"/>
            <w:bottom w:val="none" w:sz="0" w:space="0" w:color="auto"/>
            <w:right w:val="none" w:sz="0" w:space="0" w:color="auto"/>
          </w:divBdr>
        </w:div>
        <w:div w:id="800851306">
          <w:marLeft w:val="907"/>
          <w:marRight w:val="0"/>
          <w:marTop w:val="0"/>
          <w:marBottom w:val="0"/>
          <w:divBdr>
            <w:top w:val="none" w:sz="0" w:space="0" w:color="auto"/>
            <w:left w:val="none" w:sz="0" w:space="0" w:color="auto"/>
            <w:bottom w:val="none" w:sz="0" w:space="0" w:color="auto"/>
            <w:right w:val="none" w:sz="0" w:space="0" w:color="auto"/>
          </w:divBdr>
        </w:div>
        <w:div w:id="160783396">
          <w:marLeft w:val="907"/>
          <w:marRight w:val="0"/>
          <w:marTop w:val="0"/>
          <w:marBottom w:val="0"/>
          <w:divBdr>
            <w:top w:val="none" w:sz="0" w:space="0" w:color="auto"/>
            <w:left w:val="none" w:sz="0" w:space="0" w:color="auto"/>
            <w:bottom w:val="none" w:sz="0" w:space="0" w:color="auto"/>
            <w:right w:val="none" w:sz="0" w:space="0" w:color="auto"/>
          </w:divBdr>
        </w:div>
        <w:div w:id="2001502006">
          <w:marLeft w:val="907"/>
          <w:marRight w:val="0"/>
          <w:marTop w:val="0"/>
          <w:marBottom w:val="0"/>
          <w:divBdr>
            <w:top w:val="none" w:sz="0" w:space="0" w:color="auto"/>
            <w:left w:val="none" w:sz="0" w:space="0" w:color="auto"/>
            <w:bottom w:val="none" w:sz="0" w:space="0" w:color="auto"/>
            <w:right w:val="none" w:sz="0" w:space="0" w:color="auto"/>
          </w:divBdr>
        </w:div>
      </w:divsChild>
    </w:div>
    <w:div w:id="2116442701">
      <w:bodyDiv w:val="1"/>
      <w:marLeft w:val="0"/>
      <w:marRight w:val="0"/>
      <w:marTop w:val="0"/>
      <w:marBottom w:val="0"/>
      <w:divBdr>
        <w:top w:val="none" w:sz="0" w:space="0" w:color="auto"/>
        <w:left w:val="none" w:sz="0" w:space="0" w:color="auto"/>
        <w:bottom w:val="none" w:sz="0" w:space="0" w:color="auto"/>
        <w:right w:val="none" w:sz="0" w:space="0" w:color="auto"/>
      </w:divBdr>
    </w:div>
    <w:div w:id="2116560053">
      <w:bodyDiv w:val="1"/>
      <w:marLeft w:val="0"/>
      <w:marRight w:val="0"/>
      <w:marTop w:val="0"/>
      <w:marBottom w:val="0"/>
      <w:divBdr>
        <w:top w:val="none" w:sz="0" w:space="0" w:color="auto"/>
        <w:left w:val="none" w:sz="0" w:space="0" w:color="auto"/>
        <w:bottom w:val="none" w:sz="0" w:space="0" w:color="auto"/>
        <w:right w:val="none" w:sz="0" w:space="0" w:color="auto"/>
      </w:divBdr>
    </w:div>
    <w:div w:id="2134863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A6DE2-C24E-4CD2-B622-E18D0C57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4536</TotalTime>
  <Pages>22</Pages>
  <Words>8336</Words>
  <Characters>41268</Characters>
  <Application>Microsoft Office Word</Application>
  <DocSecurity>0</DocSecurity>
  <Lines>750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RochfordJ</cp:lastModifiedBy>
  <cp:revision>1774</cp:revision>
  <dcterms:created xsi:type="dcterms:W3CDTF">2022-08-20T12:26:00Z</dcterms:created>
  <dcterms:modified xsi:type="dcterms:W3CDTF">2026-09-10T04:33:00Z</dcterms:modified>
</cp:coreProperties>
</file>